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br/>
      </w:r>
    </w:p>
    <w:p w14:paraId="02000000"/>
    <w:tbl>
      <w:tblPr>
        <w:tblStyle w:val="Style_1"/>
        <w:tblBorders>
          <w:top w:color="25408F" w:sz="2" w:val="single"/>
          <w:left w:color="25408F" w:sz="2" w:val="single"/>
          <w:bottom w:color="25408F" w:sz="2" w:val="single"/>
          <w:right w:color="25408F" w:sz="2" w:val="single"/>
          <w:insideH w:color="25408F" w:sz="2" w:val="single"/>
          <w:insideV w:color="25408F" w:sz="2" w:val="single"/>
        </w:tblBorders>
        <w:tblLayout w:type="fixed"/>
      </w:tblPr>
      <w:tblGrid>
        <w:gridCol w:w="4675"/>
        <w:gridCol w:w="2357"/>
      </w:tblGrid>
      <w:tr>
        <w:trPr>
          <w:trHeight w:hRule="atLeast" w:val="878"/>
        </w:trPr>
        <w:tc>
          <w:tcPr>
            <w:tcW w:type="dxa" w:w="7032"/>
            <w:gridSpan w:val="2"/>
            <w:tcBorders>
              <w:top w:color="25408F" w:sz="2" w:val="single"/>
              <w:left w:color="25408F" w:sz="2" w:val="single"/>
              <w:bottom w:color="25408F" w:sz="2" w:val="single"/>
              <w:right w:color="25408F" w:sz="2" w:val="single"/>
            </w:tcBorders>
          </w:tcPr>
          <w:p w14:paraId="03000000">
            <w:pPr>
              <w:rPr>
                <w:b w:val="1"/>
              </w:rPr>
            </w:pPr>
            <w:r>
              <w:rPr>
                <w:b w:val="1"/>
              </w:rPr>
              <w:t xml:space="preserve">     УСЗН Администрации Аксайского р-на </w:t>
            </w:r>
          </w:p>
          <w:p w14:paraId="04000000">
            <w:pPr>
              <w:rPr>
                <w:b w:val="1"/>
              </w:rPr>
            </w:pPr>
            <w:r>
              <w:rPr>
                <w:b w:val="1"/>
              </w:rPr>
              <w:t xml:space="preserve">  8(86350) 5-64-86; 5-64-87;</w:t>
            </w:r>
          </w:p>
          <w:p w14:paraId="05000000">
            <w:r>
              <w:rPr>
                <w:b w:val="1"/>
              </w:rPr>
              <w:t xml:space="preserve">Дни консультации по вопросу оформления соц. контракта   Вт и </w:t>
            </w:r>
            <w:r>
              <w:rPr>
                <w:b w:val="1"/>
              </w:rPr>
              <w:t>Чт</w:t>
            </w:r>
            <w:r>
              <w:rPr>
                <w:b w:val="1"/>
              </w:rPr>
              <w:t xml:space="preserve"> в 14.00   по адресу: г. Аксай, пер. Бондарчука, д. 16 </w:t>
            </w:r>
            <w:r>
              <w:rPr>
                <w:b w:val="1"/>
              </w:rPr>
              <w:t>каб</w:t>
            </w:r>
            <w:r>
              <w:rPr>
                <w:b w:val="1"/>
              </w:rPr>
              <w:t>. № 4</w:t>
            </w:r>
          </w:p>
        </w:tc>
      </w:tr>
      <w:tr>
        <w:trPr>
          <w:trHeight w:hRule="atLeast" w:val="351"/>
        </w:trPr>
        <w:tc>
          <w:tcPr>
            <w:tcW w:type="dxa" w:w="7032"/>
            <w:gridSpan w:val="2"/>
            <w:tcBorders>
              <w:top w:color="25408F" w:sz="2" w:val="single"/>
              <w:left w:color="25408F" w:sz="2" w:val="single"/>
              <w:bottom w:color="25408F" w:sz="2" w:val="single"/>
              <w:right w:color="25408F" w:sz="2" w:val="single"/>
            </w:tcBorders>
          </w:tcPr>
          <w:p w14:paraId="06000000">
            <w:pPr>
              <w:rPr>
                <w:b w:val="1"/>
              </w:rPr>
            </w:pPr>
            <w:r>
              <w:rPr>
                <w:b w:val="1"/>
              </w:rPr>
              <w:t xml:space="preserve"> ВЕДЕНИЕ ЛИЧНОГО ПОДСОБНОГО ХОЗЯЙСТВА</w:t>
            </w:r>
          </w:p>
        </w:tc>
      </w:tr>
      <w:tr>
        <w:trPr>
          <w:trHeight w:hRule="atLeast" w:val="703"/>
        </w:trPr>
        <w:tc>
          <w:tcPr>
            <w:tcW w:type="dxa" w:w="4675"/>
            <w:tcBorders>
              <w:top w:color="25408F" w:sz="2" w:val="single"/>
              <w:left w:color="25408F" w:sz="2" w:val="single"/>
              <w:bottom w:color="25408F" w:sz="2" w:val="single"/>
              <w:right w:color="25408F" w:sz="2" w:val="single"/>
            </w:tcBorders>
          </w:tcPr>
          <w:p w14:paraId="07000000">
            <w:pPr>
              <w:rPr>
                <w:b w:val="1"/>
              </w:rPr>
            </w:pPr>
          </w:p>
          <w:p w14:paraId="08000000">
            <w:pPr>
              <w:rPr>
                <w:b w:val="1"/>
              </w:rPr>
            </w:pPr>
            <w:r>
              <w:rPr>
                <w:b w:val="1"/>
              </w:rPr>
              <w:t>Размер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социальной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выплаты</w:t>
            </w:r>
          </w:p>
        </w:tc>
        <w:tc>
          <w:tcPr>
            <w:tcW w:type="dxa" w:w="2357"/>
            <w:tcBorders>
              <w:top w:color="25408F" w:sz="2" w:val="single"/>
              <w:left w:color="25408F" w:sz="2" w:val="single"/>
              <w:bottom w:color="25408F" w:sz="2" w:val="single"/>
              <w:right w:color="25408F" w:sz="2" w:val="single"/>
            </w:tcBorders>
          </w:tcPr>
          <w:p w14:paraId="09000000">
            <w:pPr>
              <w:rPr>
                <w:b w:val="1"/>
              </w:rPr>
            </w:pPr>
            <w:r>
              <w:rPr>
                <w:b w:val="1"/>
              </w:rPr>
              <w:t xml:space="preserve">Срок предоставления выплаты по </w:t>
            </w:r>
            <w:r>
              <w:rPr>
                <w:b w:val="1"/>
              </w:rPr>
              <w:t>соцконтракту</w:t>
            </w:r>
          </w:p>
        </w:tc>
      </w:tr>
      <w:tr>
        <w:trPr>
          <w:trHeight w:hRule="atLeast" w:val="224"/>
        </w:trPr>
        <w:tc>
          <w:tcPr>
            <w:tcW w:type="dxa" w:w="4675"/>
            <w:tcBorders>
              <w:top w:color="25408F" w:sz="2" w:val="single"/>
              <w:left w:color="25408F" w:sz="2" w:val="single"/>
              <w:bottom w:color="25408F" w:sz="2" w:val="single"/>
              <w:right w:color="25408F" w:sz="2" w:val="single"/>
            </w:tcBorders>
          </w:tcPr>
          <w:p w14:paraId="0A000000">
            <w:r>
              <w:t>не более 200 000 руб.</w:t>
            </w:r>
          </w:p>
        </w:tc>
        <w:tc>
          <w:tcPr>
            <w:tcW w:type="dxa" w:w="2357"/>
            <w:tcBorders>
              <w:top w:color="25408F" w:sz="2" w:val="single"/>
              <w:left w:color="25408F" w:sz="2" w:val="single"/>
              <w:bottom w:color="25408F" w:sz="2" w:val="single"/>
              <w:right w:color="25408F" w:sz="2" w:val="single"/>
            </w:tcBorders>
          </w:tcPr>
          <w:p w14:paraId="0B000000">
            <w:r>
              <w:t>единовременно</w:t>
            </w:r>
          </w:p>
        </w:tc>
      </w:tr>
      <w:tr>
        <w:trPr>
          <w:trHeight w:hRule="atLeast" w:val="224"/>
        </w:trPr>
        <w:tc>
          <w:tcPr>
            <w:tcW w:type="dxa" w:w="4675"/>
            <w:tcBorders>
              <w:top w:color="25408F" w:sz="2" w:val="single"/>
              <w:left w:color="25408F" w:sz="2" w:val="single"/>
              <w:bottom w:color="25408F" w:sz="2" w:val="single"/>
              <w:right w:color="25408F" w:sz="2" w:val="single"/>
            </w:tcBorders>
          </w:tcPr>
          <w:p w14:paraId="0C000000">
            <w:r>
              <w:t xml:space="preserve">30 000 руб. – курс обучения </w:t>
            </w:r>
            <w:r>
              <w:rPr>
                <w:b w:val="1"/>
              </w:rPr>
              <w:t>(доп. обязательство)</w:t>
            </w:r>
          </w:p>
        </w:tc>
        <w:tc>
          <w:tcPr>
            <w:tcW w:type="dxa" w:w="2357"/>
            <w:tcBorders>
              <w:top w:color="25408F" w:sz="2" w:val="single"/>
              <w:left w:color="25408F" w:sz="2" w:val="single"/>
              <w:bottom w:color="25408F" w:sz="2" w:val="single"/>
              <w:right w:color="25408F" w:sz="2" w:val="single"/>
            </w:tcBorders>
          </w:tcPr>
          <w:p w14:paraId="0D000000">
            <w:r>
              <w:t>единовременно</w:t>
            </w:r>
          </w:p>
        </w:tc>
      </w:tr>
      <w:tr>
        <w:trPr>
          <w:trHeight w:hRule="atLeast" w:val="412"/>
        </w:trPr>
        <w:tc>
          <w:tcPr>
            <w:tcW w:type="dxa" w:w="7032"/>
            <w:gridSpan w:val="2"/>
            <w:tcBorders>
              <w:top w:color="25408F" w:sz="2" w:val="single"/>
              <w:left w:color="25408F" w:sz="2" w:val="single"/>
              <w:bottom w:color="25408F" w:sz="2" w:val="single"/>
              <w:right w:color="25408F" w:sz="2" w:val="single"/>
            </w:tcBorders>
          </w:tcPr>
          <w:p w14:paraId="0E000000">
            <w:pPr>
              <w:rPr>
                <w:b w:val="1"/>
              </w:rPr>
            </w:pPr>
            <w:r>
              <w:rPr>
                <w:b w:val="1"/>
              </w:rPr>
              <w:t xml:space="preserve">Требования к обязательствам гражданина по окончании исполнения </w:t>
            </w:r>
            <w:r>
              <w:rPr>
                <w:b w:val="1"/>
              </w:rPr>
              <w:t>соцконтракта</w:t>
            </w:r>
          </w:p>
        </w:tc>
      </w:tr>
      <w:tr>
        <w:trPr>
          <w:trHeight w:hRule="atLeast" w:val="1755"/>
        </w:trPr>
        <w:tc>
          <w:tcPr>
            <w:tcW w:type="dxa" w:w="7032"/>
            <w:gridSpan w:val="2"/>
            <w:tcBorders>
              <w:top w:color="25408F" w:sz="2" w:val="single"/>
              <w:left w:color="25408F" w:sz="2" w:val="single"/>
              <w:bottom w:color="25408F" w:sz="2" w:val="single"/>
              <w:right w:color="25408F" w:sz="2" w:val="single"/>
            </w:tcBorders>
          </w:tcPr>
          <w:p w14:paraId="0F000000">
            <w:pPr>
              <w:numPr>
                <w:ilvl w:val="0"/>
                <w:numId w:val="1"/>
              </w:numPr>
            </w:pPr>
            <w:r>
              <w:t>Встать на учет в налоговом органе в качестве налогоплательщика налога на профессиональный доход;</w:t>
            </w:r>
          </w:p>
          <w:p w14:paraId="10000000">
            <w:pPr>
              <w:numPr>
                <w:ilvl w:val="0"/>
                <w:numId w:val="1"/>
              </w:numPr>
            </w:pPr>
            <w:r>
              <w:t xml:space="preserve">приобрести в период действия социального контракта необходимые для ведения личного </w:t>
            </w:r>
            <w:r>
              <w:t xml:space="preserve">под- </w:t>
            </w:r>
            <w:r>
              <w:t>собного</w:t>
            </w:r>
            <w:r>
              <w:t xml:space="preserve"> хозяйства товары, а также продукцию, относимую к сельскохозяйственной продукции, утвержденную постановлением Правительства Российской Федерации от 25 июля 2006 г. № 458</w:t>
            </w:r>
          </w:p>
          <w:p w14:paraId="11000000">
            <w:r>
              <w:t>«Об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собственного производства»;</w:t>
            </w:r>
          </w:p>
          <w:p w14:paraId="12000000">
            <w:pPr>
              <w:numPr>
                <w:ilvl w:val="0"/>
                <w:numId w:val="1"/>
              </w:numPr>
            </w:pPr>
            <w:r>
              <w:t>осуществлять реализацию сельскохозяйственной продукции, произведенной и переработанной</w:t>
            </w:r>
          </w:p>
          <w:p w14:paraId="13000000">
            <w:r>
              <w:t>при ведении личного подсобного хозяйства</w:t>
            </w:r>
          </w:p>
        </w:tc>
      </w:tr>
      <w:tr>
        <w:trPr>
          <w:trHeight w:hRule="atLeast" w:val="219"/>
        </w:trPr>
        <w:tc>
          <w:tcPr>
            <w:tcW w:type="dxa" w:w="7032"/>
            <w:gridSpan w:val="2"/>
            <w:tcBorders>
              <w:top w:color="25408F" w:sz="2" w:val="single"/>
              <w:left w:color="25408F" w:sz="2" w:val="single"/>
              <w:bottom w:color="25408F" w:sz="2" w:val="single"/>
              <w:right w:color="25408F" w:sz="2" w:val="single"/>
            </w:tcBorders>
          </w:tcPr>
          <w:p w14:paraId="14000000">
            <w:r>
              <w:rPr>
                <w:b w:val="1"/>
              </w:rPr>
              <w:t>Примечание</w:t>
            </w:r>
            <w:r>
              <w:t>. Общий срок, на который заключается социальный контракт, – не более 12 мес.</w:t>
            </w:r>
          </w:p>
        </w:tc>
      </w:tr>
    </w:tbl>
    <w:p w14:paraId="15000000"/>
    <w:p w14:paraId="16000000"/>
    <w:p w14:paraId="17000000"/>
    <w:p w14:paraId="18000000"/>
    <w:p w14:paraId="19000000"/>
    <w:p w14:paraId="1A000000"/>
    <w:p w14:paraId="1B000000"/>
    <w:p w14:paraId="1C000000"/>
    <w:p w14:paraId="1D000000"/>
    <w:p w14:paraId="1E000000"/>
    <w:p w14:paraId="1F000000"/>
    <w:p w14:paraId="20000000"/>
    <w:p w14:paraId="21000000"/>
    <w:p w14:paraId="22000000"/>
    <w:p w14:paraId="23000000"/>
    <w:p w14:paraId="24000000"/>
    <w:p w14:paraId="25000000"/>
    <w:p w14:paraId="26000000"/>
    <w:p w14:paraId="27000000"/>
    <w:p w14:paraId="28000000"/>
    <w:p w14:paraId="29000000"/>
    <w:sectPr>
      <w:pgSz w:h="11906" w:orient="landscape" w:w="16838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•"/>
      <w:lvlJc w:val="left"/>
      <w:pPr>
        <w:ind w:hanging="227" w:left="363"/>
      </w:pPr>
      <w:rPr>
        <w:rFonts w:ascii="Times New Roman" w:hAnsi="Times New Roman"/>
        <w:color w:val="231F20"/>
        <w:sz w:val="16"/>
      </w:rPr>
    </w:lvl>
    <w:lvl w:ilvl="1">
      <w:numFmt w:val="bullet"/>
      <w:lvlText w:val="•"/>
      <w:lvlJc w:val="left"/>
      <w:pPr>
        <w:ind w:hanging="227" w:left="1026"/>
      </w:pPr>
    </w:lvl>
    <w:lvl w:ilvl="2">
      <w:numFmt w:val="bullet"/>
      <w:lvlText w:val="•"/>
      <w:lvlJc w:val="left"/>
      <w:pPr>
        <w:ind w:hanging="227" w:left="1693"/>
      </w:pPr>
    </w:lvl>
    <w:lvl w:ilvl="3">
      <w:numFmt w:val="bullet"/>
      <w:lvlText w:val="•"/>
      <w:lvlJc w:val="left"/>
      <w:pPr>
        <w:ind w:hanging="227" w:left="2360"/>
      </w:pPr>
    </w:lvl>
    <w:lvl w:ilvl="4">
      <w:numFmt w:val="bullet"/>
      <w:lvlText w:val="•"/>
      <w:lvlJc w:val="left"/>
      <w:pPr>
        <w:ind w:hanging="227" w:left="3026"/>
      </w:pPr>
    </w:lvl>
    <w:lvl w:ilvl="5">
      <w:numFmt w:val="bullet"/>
      <w:lvlText w:val="•"/>
      <w:lvlJc w:val="left"/>
      <w:pPr>
        <w:ind w:hanging="227" w:left="3693"/>
      </w:pPr>
    </w:lvl>
    <w:lvl w:ilvl="6">
      <w:numFmt w:val="bullet"/>
      <w:lvlText w:val="•"/>
      <w:lvlJc w:val="left"/>
      <w:pPr>
        <w:ind w:hanging="227" w:left="4360"/>
      </w:pPr>
    </w:lvl>
    <w:lvl w:ilvl="7">
      <w:numFmt w:val="bullet"/>
      <w:lvlText w:val="•"/>
      <w:lvlJc w:val="left"/>
      <w:pPr>
        <w:ind w:hanging="227" w:left="5026"/>
      </w:pPr>
    </w:lvl>
    <w:lvl w:ilvl="8">
      <w:numFmt w:val="bullet"/>
      <w:lvlText w:val="•"/>
      <w:lvlJc w:val="left"/>
      <w:pPr>
        <w:ind w:hanging="227" w:left="5693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after="0" w:line="240" w:lineRule="auto"/>
      <w:ind/>
    </w:pPr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2"/>
    <w:link w:val="Style_8_ch"/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Table Paragraph"/>
    <w:basedOn w:val="Style_2"/>
    <w:link w:val="Style_23_ch"/>
    <w:pPr>
      <w:spacing w:before="2"/>
      <w:ind w:firstLine="0" w:left="363"/>
    </w:pPr>
  </w:style>
  <w:style w:styleId="Style_23_ch" w:type="character">
    <w:name w:val="Table Paragraph"/>
    <w:basedOn w:val="Style_2_ch"/>
    <w:link w:val="Style_23"/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2023-06-14T12:47:37Z</dcterms:modified>
</cp:coreProperties>
</file>