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46"/>
        <w:gridCol w:w="6617"/>
      </w:tblGrid>
      <w:tr>
        <w:trPr>
          <w:trHeight w:hRule="atLeast" w:val="360"/>
        </w:trPr>
        <w:tc>
          <w:tcPr>
            <w:tcW w:type="dxa" w:w="3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Программы составляет – </w:t>
            </w:r>
            <w:r>
              <w:t>126 281,6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19 407,6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15 489,6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</w:t>
            </w:r>
            <w:r>
              <w:rPr>
                <w:sz w:val="28"/>
              </w:rPr>
              <w:t>14 753,1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4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123 079,0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19 407,6 </w:t>
            </w:r>
            <w:r>
              <w:rPr>
                <w:sz w:val="28"/>
              </w:rPr>
              <w:t>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15 489,6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</w:t>
            </w:r>
            <w:r>
              <w:rPr>
                <w:sz w:val="28"/>
              </w:rPr>
              <w:t>14 753,1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46"/>
        <w:gridCol w:w="6617"/>
      </w:tblGrid>
      <w:tr>
        <w:trPr>
          <w:trHeight w:hRule="atLeast" w:val="360"/>
        </w:trPr>
        <w:tc>
          <w:tcPr>
            <w:tcW w:type="dxa" w:w="3446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1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4"/>
              <w:ind w:firstLine="0" w:left="0"/>
              <w:jc w:val="left"/>
            </w:pPr>
            <w:r>
              <w:t>Общий объем финансирования подпрограммы составляет – 41 218,6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7000000">
            <w:pPr>
              <w:pStyle w:val="Style_4"/>
              <w:ind w:firstLine="0" w:left="0"/>
              <w:jc w:val="left"/>
            </w:pPr>
            <w:r>
              <w:t>2019 – 3 122,7 тыс. рублей;</w:t>
            </w:r>
          </w:p>
          <w:p w14:paraId="68000000">
            <w:pPr>
              <w:pStyle w:val="Style_4"/>
              <w:ind w:firstLine="0" w:left="0"/>
              <w:jc w:val="left"/>
            </w:pPr>
            <w:r>
              <w:t>2020 – 3 024,6тыс. рублей;</w:t>
            </w:r>
          </w:p>
          <w:p w14:paraId="69000000">
            <w:pPr>
              <w:pStyle w:val="Style_4"/>
              <w:ind w:firstLine="0" w:left="0"/>
              <w:jc w:val="left"/>
            </w:pPr>
            <w:r>
              <w:t>2021 – 3 555,3 тыс. рублей.</w:t>
            </w:r>
          </w:p>
          <w:p w14:paraId="6A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6B000000">
            <w:pPr>
              <w:pStyle w:val="Style_4"/>
              <w:ind w:firstLine="0" w:left="0"/>
              <w:jc w:val="left"/>
            </w:pPr>
            <w:r>
              <w:t>2023 – 5 196,7 тыс. рублей;</w:t>
            </w:r>
          </w:p>
          <w:p w14:paraId="6C000000">
            <w:pPr>
              <w:pStyle w:val="Style_4"/>
              <w:ind w:firstLine="0" w:left="0"/>
              <w:jc w:val="left"/>
            </w:pPr>
            <w:r>
              <w:t>2024 – 5 381,8 тыс. рублей.</w:t>
            </w:r>
          </w:p>
          <w:p w14:paraId="6D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4 438,3 тыс. рублей</w:t>
            </w:r>
            <w:r>
              <w:t>;</w:t>
            </w:r>
          </w:p>
          <w:p w14:paraId="6E000000">
            <w:pPr>
              <w:pStyle w:val="Style_4"/>
              <w:ind w:firstLine="0" w:left="0"/>
              <w:jc w:val="left"/>
            </w:pPr>
            <w:r>
              <w:t>2026 – 2 355,6 тыс. рублей</w:t>
            </w:r>
            <w:r>
              <w:t>;</w:t>
            </w:r>
          </w:p>
          <w:p w14:paraId="6F000000">
            <w:pPr>
              <w:pStyle w:val="Style_4"/>
              <w:ind w:firstLine="0" w:left="0"/>
              <w:jc w:val="left"/>
            </w:pPr>
            <w:r>
              <w:t>2027 – 2 355,6 тыс. рублей;</w:t>
            </w:r>
          </w:p>
          <w:p w14:paraId="70000000">
            <w:pPr>
              <w:pStyle w:val="Style_4"/>
              <w:ind w:firstLine="0" w:left="0"/>
              <w:jc w:val="left"/>
            </w:pPr>
            <w:r>
              <w:t>2028 – 2 355,6 тыс. рублей;</w:t>
            </w:r>
          </w:p>
          <w:p w14:paraId="71000000">
            <w:pPr>
              <w:pStyle w:val="Style_4"/>
              <w:ind w:firstLine="0" w:left="0"/>
              <w:jc w:val="left"/>
            </w:pPr>
            <w:r>
              <w:t>2029 – 2 355,6 тыс. рублей;</w:t>
            </w:r>
          </w:p>
          <w:p w14:paraId="72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41 218,6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8D000000">
            <w:pPr>
              <w:pStyle w:val="Style_4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8E000000">
            <w:pPr>
              <w:pStyle w:val="Style_4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8F000000">
            <w:pPr>
              <w:pStyle w:val="Style_4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0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1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>5 196,7</w:t>
            </w:r>
            <w:r>
              <w:t xml:space="preserve"> </w:t>
            </w:r>
            <w:r>
              <w:t>тыс. рублей;</w:t>
            </w:r>
          </w:p>
          <w:p w14:paraId="92000000">
            <w:pPr>
              <w:pStyle w:val="Style_4"/>
              <w:ind w:firstLine="0" w:left="0"/>
              <w:jc w:val="left"/>
            </w:pPr>
            <w:r>
              <w:t xml:space="preserve">2024 – </w:t>
            </w:r>
            <w:r>
              <w:t>5 381,8</w:t>
            </w:r>
            <w:r>
              <w:t xml:space="preserve"> тыс. рублей.</w:t>
            </w:r>
          </w:p>
          <w:p w14:paraId="93000000">
            <w:pPr>
              <w:pStyle w:val="Style_4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4 438,3</w:t>
            </w:r>
            <w:r>
              <w:t xml:space="preserve"> тыс. рублей</w:t>
            </w:r>
            <w:r>
              <w:t>;</w:t>
            </w:r>
          </w:p>
          <w:p w14:paraId="94000000">
            <w:pPr>
              <w:pStyle w:val="Style_4"/>
              <w:ind w:firstLine="0" w:left="0"/>
              <w:jc w:val="left"/>
            </w:pPr>
            <w:r>
              <w:t xml:space="preserve">2026 – </w:t>
            </w:r>
            <w:r>
              <w:t xml:space="preserve">2 355,6 </w:t>
            </w:r>
            <w:r>
              <w:t>тыс. рублей</w:t>
            </w:r>
            <w:r>
              <w:t>;</w:t>
            </w:r>
          </w:p>
          <w:p w14:paraId="95000000">
            <w:pPr>
              <w:pStyle w:val="Style_4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6000000">
            <w:pPr>
              <w:pStyle w:val="Style_4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97000000">
            <w:pPr>
              <w:pStyle w:val="Style_4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98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99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61"/>
        <w:gridCol w:w="6602"/>
      </w:tblGrid>
      <w:tr>
        <w:trPr>
          <w:trHeight w:hRule="atLeast" w:val="360"/>
        </w:trPr>
        <w:tc>
          <w:tcPr>
            <w:tcW w:type="dxa" w:w="3461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10 028,7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9C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9D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9E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9F000000">
            <w:pPr>
              <w:pStyle w:val="Style_4"/>
              <w:ind w:firstLine="0" w:left="0"/>
              <w:jc w:val="left"/>
            </w:pPr>
            <w:r>
              <w:t>2022 – 1 593,3 тыс. рублей;</w:t>
            </w:r>
          </w:p>
          <w:p w14:paraId="A0000000">
            <w:pPr>
              <w:pStyle w:val="Style_4"/>
              <w:ind w:firstLine="0" w:left="0"/>
              <w:jc w:val="left"/>
            </w:pPr>
            <w:r>
              <w:t>2023 – 1 800,0 тыс. рублей;</w:t>
            </w:r>
          </w:p>
          <w:p w14:paraId="A1000000">
            <w:pPr>
              <w:pStyle w:val="Style_4"/>
              <w:ind w:firstLine="0" w:left="0"/>
              <w:jc w:val="left"/>
            </w:pPr>
            <w:r>
              <w:t>2024 – 1 000,0 тыс. рублей.</w:t>
            </w:r>
          </w:p>
          <w:p w14:paraId="A2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1 000,0тыс. рублей</w:t>
            </w:r>
            <w:r>
              <w:t>;</w:t>
            </w:r>
          </w:p>
          <w:p w14:paraId="A3000000">
            <w:pPr>
              <w:pStyle w:val="Style_4"/>
              <w:ind w:firstLine="0" w:left="0"/>
              <w:jc w:val="left"/>
            </w:pPr>
            <w:r>
              <w:t>2026 – 150,0 тыс. рублей</w:t>
            </w:r>
            <w:r>
              <w:t>;</w:t>
            </w:r>
          </w:p>
          <w:p w14:paraId="A4000000">
            <w:pPr>
              <w:pStyle w:val="Style_4"/>
              <w:ind w:firstLine="0" w:left="0"/>
              <w:jc w:val="left"/>
            </w:pPr>
            <w:r>
              <w:t>2027 – 150, 0 тыс. рублей;</w:t>
            </w:r>
          </w:p>
          <w:p w14:paraId="A5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A6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A7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 xml:space="preserve">Щепкинского сельского поселения составляет – </w:t>
            </w:r>
            <w:r>
              <w:rPr>
                <w:sz w:val="28"/>
              </w:rPr>
              <w:t>10 028,7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2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C3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C4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C5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C6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 xml:space="preserve">1 800,0 </w:t>
            </w:r>
            <w:r>
              <w:t>тыс. рублей;</w:t>
            </w:r>
          </w:p>
          <w:p w14:paraId="C7000000">
            <w:pPr>
              <w:pStyle w:val="Style_4"/>
              <w:ind w:firstLine="0" w:left="0"/>
              <w:jc w:val="left"/>
            </w:pPr>
            <w:r>
              <w:t xml:space="preserve">2024 – </w:t>
            </w:r>
            <w:r>
              <w:t>1 000</w:t>
            </w:r>
            <w:r>
              <w:t>,0 тыс. рублей.</w:t>
            </w:r>
          </w:p>
          <w:p w14:paraId="C8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1 000,0 тыс. рублей</w:t>
            </w:r>
            <w:r>
              <w:t>;</w:t>
            </w:r>
          </w:p>
          <w:p w14:paraId="C9000000">
            <w:pPr>
              <w:pStyle w:val="Style_4"/>
              <w:ind w:firstLine="0" w:left="0"/>
              <w:jc w:val="left"/>
            </w:pPr>
            <w:r>
              <w:t>2026 – 150,0 тыс. рублей</w:t>
            </w:r>
            <w:r>
              <w:t>;</w:t>
            </w:r>
          </w:p>
          <w:p w14:paraId="CA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CB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CC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CD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  <w:p w14:paraId="CE000000">
            <w:pPr>
              <w:pStyle w:val="Style_4"/>
              <w:spacing w:line="228" w:lineRule="auto"/>
              <w:ind w:firstLine="0" w:left="0"/>
              <w:jc w:val="left"/>
            </w:pPr>
          </w:p>
        </w:tc>
      </w:tr>
    </w:tbl>
    <w:p w14:paraId="CF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46"/>
        <w:gridCol w:w="6617"/>
      </w:tblGrid>
      <w:tr>
        <w:trPr>
          <w:trHeight w:hRule="atLeast" w:val="360"/>
        </w:trPr>
        <w:tc>
          <w:tcPr>
            <w:tcW w:type="dxa" w:w="3446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1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75 034,3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D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12 410,9 </w:t>
            </w:r>
            <w:r>
              <w:rPr>
                <w:sz w:val="28"/>
              </w:rPr>
              <w:t>тыс. рублей;</w:t>
            </w:r>
          </w:p>
          <w:p w14:paraId="D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9 107,8</w:t>
            </w:r>
            <w:r>
              <w:rPr>
                <w:sz w:val="28"/>
              </w:rPr>
              <w:t xml:space="preserve"> тыс. рублей.</w:t>
            </w:r>
          </w:p>
          <w:p w14:paraId="D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</w:t>
            </w:r>
            <w:r>
              <w:rPr>
                <w:sz w:val="28"/>
              </w:rPr>
              <w:t>9 314,8</w:t>
            </w:r>
            <w:r>
              <w:rPr>
                <w:sz w:val="28"/>
              </w:rPr>
              <w:t xml:space="preserve"> тыс. рублей;</w:t>
            </w:r>
          </w:p>
          <w:p w14:paraId="D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– </w:t>
            </w:r>
            <w:r>
              <w:rPr>
                <w:sz w:val="28"/>
              </w:rPr>
              <w:t xml:space="preserve">460,0 </w:t>
            </w:r>
            <w:r>
              <w:rPr>
                <w:sz w:val="28"/>
              </w:rPr>
              <w:t>тыс. рублей;</w:t>
            </w:r>
          </w:p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E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E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71 831,7 </w:t>
            </w:r>
            <w:r>
              <w:rPr>
                <w:sz w:val="28"/>
              </w:rPr>
              <w:t>тыс. рублей</w:t>
            </w: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12 410,9 </w:t>
            </w:r>
            <w:r>
              <w:rPr>
                <w:sz w:val="28"/>
              </w:rPr>
              <w:t>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9 107,8</w:t>
            </w:r>
            <w:r>
              <w:rPr>
                <w:sz w:val="28"/>
              </w:rPr>
              <w:t xml:space="preserve"> тыс. рублей.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9 314,8</w:t>
            </w:r>
            <w:r>
              <w:rPr>
                <w:sz w:val="28"/>
              </w:rPr>
              <w:t xml:space="preserve">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– </w:t>
            </w:r>
            <w:r>
              <w:rPr>
                <w:sz w:val="28"/>
              </w:rPr>
              <w:t xml:space="preserve">460,0 </w:t>
            </w:r>
            <w:r>
              <w:rPr>
                <w:sz w:val="28"/>
              </w:rPr>
              <w:t>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1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1E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1F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20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21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22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23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2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2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2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А.М. Матвеев</w:t>
      </w:r>
    </w:p>
    <w:p w14:paraId="27010000">
      <w:pPr>
        <w:sectPr>
          <w:footerReference r:id="rId1" w:type="default"/>
          <w:pgSz w:h="16837" w:orient="portrait" w:w="11905"/>
          <w:pgMar w:bottom="821" w:footer="720" w:gutter="0" w:header="720" w:left="1134" w:right="708" w:top="425"/>
        </w:sectPr>
      </w:pPr>
    </w:p>
    <w:tbl>
      <w:tblPr>
        <w:tblStyle w:val="Style_3"/>
        <w:tblLayout w:type="fixed"/>
      </w:tblPr>
      <w:tblGrid>
        <w:gridCol w:w="2612"/>
        <w:gridCol w:w="1845"/>
        <w:gridCol w:w="675"/>
        <w:gridCol w:w="570"/>
        <w:gridCol w:w="825"/>
        <w:gridCol w:w="585"/>
        <w:gridCol w:w="870"/>
        <w:gridCol w:w="510"/>
        <w:gridCol w:w="615"/>
        <w:gridCol w:w="645"/>
        <w:gridCol w:w="645"/>
        <w:gridCol w:w="585"/>
        <w:gridCol w:w="615"/>
        <w:gridCol w:w="615"/>
        <w:gridCol w:w="555"/>
        <w:gridCol w:w="555"/>
        <w:gridCol w:w="795"/>
        <w:gridCol w:w="675"/>
        <w:gridCol w:w="780"/>
      </w:tblGrid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</w:tcPr>
          <w:p w14:paraId="2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2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2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2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2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2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2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2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3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75"/>
            <w:gridSpan w:val="8"/>
          </w:tcPr>
          <w:p w14:paraId="3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</w:tcPr>
          <w:p w14:paraId="3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3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3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3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3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3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75"/>
            <w:gridSpan w:val="8"/>
          </w:tcPr>
          <w:p w14:paraId="3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</w:tcPr>
          <w:p w14:paraId="3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3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4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75"/>
            <w:gridSpan w:val="8"/>
          </w:tcPr>
          <w:p w14:paraId="4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11115"/>
            <w:gridSpan w:val="17"/>
            <w:vAlign w:val="center"/>
          </w:tcPr>
          <w:p w14:paraId="46010000">
            <w:pPr>
              <w:spacing w:line="240" w:lineRule="auto"/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2023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</w:tcPr>
          <w:p w14:paraId="4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4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4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5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5"/>
          </w:tcPr>
          <w:p w14:paraId="5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5"/>
          </w:tcPr>
          <w:p w14:paraId="5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7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7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75"/>
            <w:gridSpan w:val="8"/>
          </w:tcPr>
          <w:p w14:paraId="6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  <w:vAlign w:val="center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  <w:vAlign w:val="center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  <w:vAlign w:val="center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  <w:vAlign w:val="center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6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6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65"/>
            <w:gridSpan w:val="10"/>
          </w:tcPr>
          <w:p w14:paraId="6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  <w:vAlign w:val="center"/>
          </w:tcPr>
          <w:p w14:paraId="6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  <w:vAlign w:val="center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  <w:vAlign w:val="center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85"/>
            <w:vAlign w:val="center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7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65"/>
            <w:gridSpan w:val="10"/>
          </w:tcPr>
          <w:p w14:paraId="7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/>
        </w:tc>
        <w:tc>
          <w:tcPr>
            <w:tcW w:type="dxa" w:w="1845"/>
          </w:tcPr>
          <w:p/>
        </w:tc>
        <w:tc>
          <w:tcPr>
            <w:tcW w:type="dxa" w:w="675"/>
            <w:vAlign w:val="center"/>
          </w:tcPr>
          <w:p w14:paraId="7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70"/>
            <w:vAlign w:val="center"/>
          </w:tcPr>
          <w:p w14:paraId="7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  <w:vAlign w:val="center"/>
          </w:tcPr>
          <w:p w14:paraId="7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85"/>
            <w:vAlign w:val="center"/>
          </w:tcPr>
          <w:p w14:paraId="7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/>
        </w:tc>
        <w:tc>
          <w:tcPr>
            <w:tcW w:type="dxa" w:w="510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585"/>
          </w:tcPr>
          <w:p/>
        </w:tc>
        <w:tc>
          <w:tcPr>
            <w:tcW w:type="dxa" w:w="615"/>
          </w:tcPr>
          <w:p/>
        </w:tc>
        <w:tc>
          <w:tcPr>
            <w:tcW w:type="dxa" w:w="615"/>
          </w:tcPr>
          <w:p/>
        </w:tc>
        <w:tc>
          <w:tcPr>
            <w:tcW w:type="dxa" w:w="555"/>
          </w:tcPr>
          <w:p/>
        </w:tc>
        <w:tc>
          <w:tcPr>
            <w:tcW w:type="dxa" w:w="555"/>
          </w:tcPr>
          <w:p/>
        </w:tc>
        <w:tc>
          <w:tcPr>
            <w:tcW w:type="dxa" w:w="795"/>
          </w:tcPr>
          <w:p/>
        </w:tc>
        <w:tc>
          <w:tcPr>
            <w:tcW w:type="dxa" w:w="67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5572"/>
            <w:gridSpan w:val="19"/>
          </w:tcPr>
          <w:p w14:paraId="76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2612"/>
          </w:tcPr>
          <w:p w14:paraId="77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5"/>
          </w:tcPr>
          <w:p/>
        </w:tc>
        <w:tc>
          <w:tcPr>
            <w:tcW w:type="dxa" w:w="675"/>
            <w:vAlign w:val="center"/>
          </w:tcPr>
          <w:p w14:paraId="7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70"/>
            <w:vAlign w:val="center"/>
          </w:tcPr>
          <w:p w14:paraId="7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  <w:vAlign w:val="center"/>
          </w:tcPr>
          <w:p w14:paraId="7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85"/>
            <w:vAlign w:val="center"/>
          </w:tcPr>
          <w:p w14:paraId="7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/>
        </w:tc>
        <w:tc>
          <w:tcPr>
            <w:tcW w:type="dxa" w:w="510"/>
          </w:tcPr>
          <w:p/>
        </w:tc>
        <w:tc>
          <w:tcPr>
            <w:tcW w:type="dxa" w:w="61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585"/>
          </w:tcPr>
          <w:p/>
        </w:tc>
        <w:tc>
          <w:tcPr>
            <w:tcW w:type="dxa" w:w="615"/>
          </w:tcPr>
          <w:p/>
        </w:tc>
        <w:tc>
          <w:tcPr>
            <w:tcW w:type="dxa" w:w="615"/>
          </w:tcPr>
          <w:p/>
        </w:tc>
        <w:tc>
          <w:tcPr>
            <w:tcW w:type="dxa" w:w="555"/>
          </w:tcPr>
          <w:p/>
        </w:tc>
        <w:tc>
          <w:tcPr>
            <w:tcW w:type="dxa" w:w="555"/>
          </w:tcPr>
          <w:p/>
        </w:tc>
        <w:tc>
          <w:tcPr>
            <w:tcW w:type="dxa" w:w="795"/>
          </w:tcPr>
          <w:p/>
        </w:tc>
        <w:tc>
          <w:tcPr>
            <w:tcW w:type="dxa" w:w="675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65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59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6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126 281,6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19 407,6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15 489,6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14 753,1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B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41 218,6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5 196,7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5 381,8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4 438,3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atLeast" w:val="300"/>
        </w:trPr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1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36 204,8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4 371,7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3 581,8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3 538,3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atLeast" w:val="300"/>
        </w:trPr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5 013,8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10 028,7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1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2 849,5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3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6 929,2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75 034,3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12 410,9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9 107,8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9 314,8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32 869,5</w:t>
            </w:r>
          </w:p>
        </w:tc>
        <w:tc>
          <w:tcPr>
            <w:tcW w:type="dxa" w:w="5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4 694,5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2 615,1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2 493,3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</w:trPr>
        <w:tc>
          <w:tcPr>
            <w:tcW w:type="dxa" w:w="26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1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25 715,4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4 958,2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5 156,8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12 076,7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1 532,2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1 662,4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</w:trPr>
        <w:tc>
          <w:tcPr>
            <w:tcW w:type="dxa" w:w="26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A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</w:trPr>
        <w:tc>
          <w:tcPr>
            <w:tcW w:type="dxa" w:w="2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C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D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3"/>
        <w:tblLayout w:type="fixed"/>
      </w:tblPr>
      <w:tblGrid>
        <w:gridCol w:w="1172"/>
        <w:gridCol w:w="2505"/>
        <w:gridCol w:w="2490"/>
        <w:gridCol w:w="765"/>
        <w:gridCol w:w="825"/>
        <w:gridCol w:w="795"/>
        <w:gridCol w:w="720"/>
        <w:gridCol w:w="705"/>
        <w:gridCol w:w="720"/>
        <w:gridCol w:w="630"/>
        <w:gridCol w:w="540"/>
        <w:gridCol w:w="690"/>
        <w:gridCol w:w="705"/>
        <w:gridCol w:w="615"/>
        <w:gridCol w:w="840"/>
        <w:gridCol w:w="855"/>
      </w:tblGrid>
      <w:tr>
        <w:trPr>
          <w:trHeight w:hRule="atLeast" w:val="300"/>
        </w:trPr>
        <w:tc>
          <w:tcPr>
            <w:tcW w:type="dxa" w:w="1172"/>
          </w:tcPr>
          <w:p w14:paraId="D5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2505"/>
          </w:tcPr>
          <w:p w14:paraId="D6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</w:tcPr>
          <w:p w14:paraId="D7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D8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D9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DA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DB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00"/>
            <w:gridSpan w:val="9"/>
          </w:tcPr>
          <w:p w14:paraId="D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172"/>
          </w:tcPr>
          <w:p w14:paraId="DD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05"/>
          </w:tcPr>
          <w:p w14:paraId="DE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</w:tcPr>
          <w:p w14:paraId="DF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E0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E1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E2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20"/>
            <w:gridSpan w:val="10"/>
          </w:tcPr>
          <w:p w14:paraId="E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172"/>
          </w:tcPr>
          <w:p w14:paraId="E4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05"/>
          </w:tcPr>
          <w:p w14:paraId="E5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</w:tcPr>
          <w:p w14:paraId="E6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E7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E8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E9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EA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00"/>
            <w:gridSpan w:val="9"/>
          </w:tcPr>
          <w:p w14:paraId="E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12"/>
        </w:trPr>
        <w:tc>
          <w:tcPr>
            <w:tcW w:type="dxa" w:w="15572"/>
            <w:gridSpan w:val="16"/>
          </w:tcPr>
          <w:p w14:paraId="EC02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2023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</w:trPr>
        <w:tc>
          <w:tcPr>
            <w:tcW w:type="dxa" w:w="1172"/>
          </w:tcPr>
          <w:p w14:paraId="ED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05"/>
          </w:tcPr>
          <w:p w14:paraId="EE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</w:tcPr>
          <w:p w14:paraId="EF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F0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F1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F2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F3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F4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F5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0"/>
          </w:tcPr>
          <w:p w14:paraId="F6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40"/>
          </w:tcPr>
          <w:p w14:paraId="F7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F8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F9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15"/>
          </w:tcPr>
          <w:p w14:paraId="FA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FB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F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172"/>
          </w:tcPr>
          <w:p w14:paraId="FD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05"/>
          </w:tcPr>
          <w:p w14:paraId="FE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</w:tcPr>
          <w:p w14:paraId="FF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0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0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0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0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00"/>
            <w:gridSpan w:val="9"/>
          </w:tcPr>
          <w:p w14:paraId="0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172"/>
            <w:vAlign w:val="center"/>
          </w:tcPr>
          <w:p w14:paraId="0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05"/>
            <w:vAlign w:val="center"/>
          </w:tcPr>
          <w:p w14:paraId="0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  <w:vAlign w:val="center"/>
          </w:tcPr>
          <w:p w14:paraId="0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0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0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0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0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00"/>
            <w:gridSpan w:val="9"/>
          </w:tcPr>
          <w:p w14:paraId="0C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172"/>
            <w:vAlign w:val="center"/>
          </w:tcPr>
          <w:p w14:paraId="0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05"/>
            <w:vAlign w:val="center"/>
          </w:tcPr>
          <w:p w14:paraId="0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90"/>
            <w:vAlign w:val="center"/>
          </w:tcPr>
          <w:p w14:paraId="0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1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1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1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20"/>
            <w:gridSpan w:val="10"/>
          </w:tcPr>
          <w:p w14:paraId="13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172"/>
          </w:tcPr>
          <w:p/>
        </w:tc>
        <w:tc>
          <w:tcPr>
            <w:tcW w:type="dxa" w:w="2505"/>
          </w:tcPr>
          <w:p/>
        </w:tc>
        <w:tc>
          <w:tcPr>
            <w:tcW w:type="dxa" w:w="2490"/>
          </w:tcPr>
          <w:p/>
        </w:tc>
        <w:tc>
          <w:tcPr>
            <w:tcW w:type="dxa" w:w="765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30"/>
          </w:tcPr>
          <w:p/>
        </w:tc>
        <w:tc>
          <w:tcPr>
            <w:tcW w:type="dxa" w:w="540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615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</w:tr>
      <w:tr>
        <w:trPr>
          <w:trHeight w:hRule="atLeast" w:val="300"/>
        </w:trPr>
        <w:tc>
          <w:tcPr>
            <w:tcW w:type="dxa" w:w="15572"/>
            <w:gridSpan w:val="16"/>
          </w:tcPr>
          <w:p w14:paraId="1403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72"/>
          </w:tcPr>
          <w:p/>
        </w:tc>
        <w:tc>
          <w:tcPr>
            <w:tcW w:type="dxa" w:w="2505"/>
          </w:tcPr>
          <w:p/>
        </w:tc>
        <w:tc>
          <w:tcPr>
            <w:tcW w:type="dxa" w:w="2490"/>
          </w:tcPr>
          <w:p/>
        </w:tc>
        <w:tc>
          <w:tcPr>
            <w:tcW w:type="dxa" w:w="765"/>
          </w:tcPr>
          <w:p/>
        </w:tc>
        <w:tc>
          <w:tcPr>
            <w:tcW w:type="dxa" w:w="825"/>
          </w:tcPr>
          <w:p/>
        </w:tc>
        <w:tc>
          <w:tcPr>
            <w:tcW w:type="dxa" w:w="795"/>
          </w:tcPr>
          <w:p/>
        </w:tc>
        <w:tc>
          <w:tcPr>
            <w:tcW w:type="dxa" w:w="72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630"/>
          </w:tcPr>
          <w:p/>
        </w:tc>
        <w:tc>
          <w:tcPr>
            <w:tcW w:type="dxa" w:w="540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615"/>
          </w:tcPr>
          <w:p/>
        </w:tc>
        <w:tc>
          <w:tcPr>
            <w:tcW w:type="dxa" w:w="840"/>
          </w:tcPr>
          <w:p/>
        </w:tc>
        <w:tc>
          <w:tcPr>
            <w:tcW w:type="dxa" w:w="855"/>
          </w:tcPr>
          <w:p/>
        </w:tc>
      </w:tr>
      <w:tr>
        <w:trPr>
          <w:trHeight w:hRule="atLeast" w:val="300"/>
        </w:trPr>
        <w:tc>
          <w:tcPr>
            <w:tcW w:type="dxa" w:w="11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2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4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855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8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8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1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2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                территории Щепкинского сельского         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28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19 407,6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15 489,6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14 753,1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126 281,6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19 407,6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15 489,6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14 753,1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123 079,0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11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24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5 196,7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5 381,8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4 438,3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41 218,6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5 196,7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5 381,8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4 438,3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41 218,6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2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24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10 028,7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10 028,7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2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24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12 410,9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9 107,8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9 314,8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55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75 034,3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12 410,9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9 107,8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9 314,8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71 831,7</w:t>
            </w:r>
          </w:p>
        </w:tc>
      </w:tr>
      <w:tr>
        <w:trPr>
          <w:trHeight w:hRule="atLeast" w:val="300"/>
        </w:trPr>
        <w:tc>
          <w:tcPr>
            <w:tcW w:type="dxa" w:w="11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7F04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822" w:footer="720" w:gutter="0" w:header="720" w:left="567" w:right="709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18"/>
      </w:rPr>
    </w:pPr>
    <w:r>
      <w:rPr>
        <w:sz w:val="18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Маркеры списка"/>
    <w:link w:val="Style_7_ch"/>
    <w:rPr>
      <w:rFonts w:ascii="OpenSymbol" w:hAnsi="OpenSymbol"/>
    </w:rPr>
  </w:style>
  <w:style w:styleId="Style_7_ch" w:type="character">
    <w:name w:val="Маркеры списка"/>
    <w:link w:val="Style_7"/>
    <w:rPr>
      <w:rFonts w:ascii="OpenSymbol" w:hAnsi="OpenSymbol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ind w:firstLine="709" w:left="0"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</w:rPr>
  </w:style>
  <w:style w:styleId="Style_13_ch" w:type="character">
    <w:name w:val="ConsPlusTitle"/>
    <w:link w:val="Style_13"/>
    <w:rPr>
      <w:rFonts w:ascii="Arial" w:hAnsi="Arial"/>
      <w:b w:val="1"/>
    </w:rPr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head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5_ch"/>
    <w:link w:val="Style_17"/>
  </w:style>
  <w:style w:styleId="Style_18" w:type="paragraph">
    <w:name w:val="ConsPlusNormal"/>
    <w:link w:val="Style_18_ch"/>
    <w:pPr>
      <w:widowControl w:val="0"/>
      <w:ind/>
    </w:pPr>
    <w:rPr>
      <w:sz w:val="24"/>
    </w:rPr>
  </w:style>
  <w:style w:styleId="Style_18_ch" w:type="character">
    <w:name w:val="ConsPlusNormal"/>
    <w:link w:val="Style_18"/>
    <w:rPr>
      <w:sz w:val="24"/>
    </w:rPr>
  </w:style>
  <w:style w:styleId="Style_19" w:type="paragraph">
    <w:name w:val="annotation text"/>
    <w:basedOn w:val="Style_5"/>
    <w:link w:val="Style_19_ch"/>
    <w:rPr>
      <w:sz w:val="20"/>
    </w:rPr>
  </w:style>
  <w:style w:styleId="Style_19_ch" w:type="character">
    <w:name w:val="annotation text"/>
    <w:basedOn w:val="Style_5_ch"/>
    <w:link w:val="Style_19"/>
    <w:rPr>
      <w:sz w:val="20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Символ нумерации"/>
    <w:link w:val="Style_21_ch"/>
    <w:rPr>
      <w:b w:val="0"/>
    </w:rPr>
  </w:style>
  <w:style w:styleId="Style_21_ch" w:type="character">
    <w:name w:val="Символ нумерации"/>
    <w:link w:val="Style_21"/>
    <w:rPr>
      <w:b w:val="0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annotation subject"/>
    <w:basedOn w:val="Style_19"/>
    <w:next w:val="Style_19"/>
    <w:link w:val="Style_24_ch"/>
    <w:rPr>
      <w:b w:val="1"/>
    </w:rPr>
  </w:style>
  <w:style w:styleId="Style_24_ch" w:type="character">
    <w:name w:val="annotation subject"/>
    <w:basedOn w:val="Style_19_ch"/>
    <w:link w:val="Style_24"/>
    <w:rPr>
      <w:b w:val="1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5_ch"/>
    <w:link w:val="Style_26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Название1"/>
    <w:basedOn w:val="Style_5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Название1"/>
    <w:basedOn w:val="Style_5_ch"/>
    <w:link w:val="Style_29"/>
    <w:rPr>
      <w:i w:val="1"/>
      <w:sz w:val="24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16" w:type="paragraph">
    <w:name w:val="Содержимое таблицы"/>
    <w:basedOn w:val="Style_5"/>
    <w:link w:val="Style_16_ch"/>
    <w:pPr>
      <w:widowControl w:val="1"/>
      <w:ind/>
    </w:pPr>
    <w:rPr>
      <w:rFonts w:ascii="Arial" w:hAnsi="Arial"/>
    </w:rPr>
  </w:style>
  <w:style w:styleId="Style_16_ch" w:type="character">
    <w:name w:val="Содержимое таблицы"/>
    <w:basedOn w:val="Style_5_ch"/>
    <w:link w:val="Style_16"/>
    <w:rPr>
      <w:rFonts w:ascii="Arial" w:hAnsi="Arial"/>
    </w:rPr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Font Style11"/>
    <w:link w:val="Style_34_ch"/>
  </w:style>
  <w:style w:styleId="Style_34_ch" w:type="character">
    <w:name w:val="Font Style11"/>
    <w:link w:val="Style_34"/>
  </w:style>
  <w:style w:styleId="Style_23" w:type="paragraph">
    <w:name w:val="Body Text"/>
    <w:basedOn w:val="Style_5"/>
    <w:link w:val="Style_23_ch"/>
    <w:pPr>
      <w:spacing w:after="120" w:before="0"/>
      <w:ind/>
    </w:pPr>
  </w:style>
  <w:style w:styleId="Style_23_ch" w:type="character">
    <w:name w:val="Body Text"/>
    <w:basedOn w:val="Style_5_ch"/>
    <w:link w:val="Style_23"/>
  </w:style>
  <w:style w:styleId="Style_35" w:type="paragraph">
    <w:name w:val="Заголовок"/>
    <w:basedOn w:val="Style_5"/>
    <w:next w:val="Style_23"/>
    <w:link w:val="Style_35_ch"/>
    <w:pPr>
      <w:keepNext w:val="1"/>
      <w:spacing w:after="120" w:before="240"/>
      <w:ind/>
    </w:pPr>
    <w:rPr>
      <w:rFonts w:ascii="Arial" w:hAnsi="Arial"/>
      <w:sz w:val="28"/>
    </w:rPr>
  </w:style>
  <w:style w:styleId="Style_35_ch" w:type="character">
    <w:name w:val="Заголовок"/>
    <w:basedOn w:val="Style_5_ch"/>
    <w:link w:val="Style_35"/>
    <w:rPr>
      <w:rFonts w:ascii="Arial" w:hAnsi="Arial"/>
      <w:sz w:val="28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Указатель1"/>
    <w:basedOn w:val="Style_5"/>
    <w:link w:val="Style_37_ch"/>
  </w:style>
  <w:style w:styleId="Style_37_ch" w:type="character">
    <w:name w:val="Указатель1"/>
    <w:basedOn w:val="Style_5_ch"/>
    <w:link w:val="Style_37"/>
  </w:style>
  <w:style w:styleId="Style_38" w:type="paragraph">
    <w:name w:val="Subtitle"/>
    <w:basedOn w:val="Style_35"/>
    <w:next w:val="Style_23"/>
    <w:link w:val="Style_38_ch"/>
    <w:uiPriority w:val="11"/>
    <w:qFormat/>
    <w:pPr>
      <w:ind/>
      <w:jc w:val="center"/>
    </w:pPr>
    <w:rPr>
      <w:i w:val="1"/>
      <w:sz w:val="28"/>
    </w:rPr>
  </w:style>
  <w:style w:styleId="Style_38_ch" w:type="character">
    <w:name w:val="Subtitle"/>
    <w:basedOn w:val="Style_35_ch"/>
    <w:link w:val="Style_38"/>
    <w:rPr>
      <w:i w:val="1"/>
      <w:sz w:val="28"/>
    </w:rPr>
  </w:style>
  <w:style w:styleId="Style_39" w:type="paragraph">
    <w:name w:val="Default"/>
    <w:link w:val="Style_39_ch"/>
    <w:rPr>
      <w:color w:val="000000"/>
      <w:sz w:val="24"/>
    </w:rPr>
  </w:style>
  <w:style w:styleId="Style_39_ch" w:type="character">
    <w:name w:val="Default"/>
    <w:link w:val="Style_39"/>
    <w:rPr>
      <w:color w:val="000000"/>
      <w:sz w:val="24"/>
    </w:rPr>
  </w:style>
  <w:style w:styleId="Style_40" w:type="paragraph">
    <w:name w:val="Body Text Indent"/>
    <w:basedOn w:val="Style_5"/>
    <w:link w:val="Style_40_ch"/>
    <w:pPr>
      <w:spacing w:after="120" w:before="0" w:line="100" w:lineRule="atLeast"/>
      <w:ind w:firstLine="0" w:left="283" w:right="0"/>
    </w:pPr>
    <w:rPr>
      <w:sz w:val="24"/>
    </w:rPr>
  </w:style>
  <w:style w:styleId="Style_40_ch" w:type="character">
    <w:name w:val="Body Text Indent"/>
    <w:basedOn w:val="Style_5_ch"/>
    <w:link w:val="Style_40"/>
    <w:rPr>
      <w:sz w:val="24"/>
    </w:rPr>
  </w:style>
  <w:style w:styleId="Style_41" w:type="paragraph">
    <w:name w:val="Title"/>
    <w:basedOn w:val="Style_35"/>
    <w:next w:val="Style_38"/>
    <w:link w:val="Style_41_ch"/>
    <w:uiPriority w:val="10"/>
    <w:qFormat/>
  </w:style>
  <w:style w:styleId="Style_41_ch" w:type="character">
    <w:name w:val="Title"/>
    <w:basedOn w:val="Style_35_ch"/>
    <w:link w:val="Style_41"/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2" w:type="paragraph">
    <w:name w:val="ConsPlusCell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Cell"/>
    <w:link w:val="Style_42"/>
    <w:rPr>
      <w:rFonts w:ascii="Arial" w:hAnsi="Arial"/>
    </w:rPr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Balloon Text"/>
    <w:basedOn w:val="Style_5"/>
    <w:link w:val="Style_44_ch"/>
    <w:rPr>
      <w:rFonts w:ascii="Segoe UI" w:hAnsi="Segoe UI"/>
      <w:sz w:val="18"/>
    </w:rPr>
  </w:style>
  <w:style w:styleId="Style_44_ch" w:type="character">
    <w:name w:val="Balloon Text"/>
    <w:basedOn w:val="Style_5_ch"/>
    <w:link w:val="Style_44"/>
    <w:rPr>
      <w:rFonts w:ascii="Segoe UI" w:hAnsi="Segoe UI"/>
      <w:sz w:val="1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2023-10-23T05:43:11Z</dcterms:modified>
</cp:coreProperties>
</file>