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АДМИНИСТРАЦИЯ ЩЕПКИНСКОГО СЕЛЬСКОГО ПОСЕЛЕНИЯ</w:t>
      </w:r>
    </w:p>
    <w:p w14:paraId="04000000">
      <w:pPr>
        <w:ind/>
        <w:jc w:val="center"/>
        <w:rPr>
          <w:b w:val="1"/>
          <w:sz w:val="28"/>
        </w:rPr>
      </w:pP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06000000">
      <w:pPr>
        <w:ind/>
        <w:jc w:val="both"/>
        <w:rPr>
          <w:sz w:val="28"/>
        </w:rPr>
      </w:pPr>
    </w:p>
    <w:p w14:paraId="07000000">
      <w:pPr>
        <w:ind/>
        <w:jc w:val="both"/>
        <w:rPr>
          <w:sz w:val="28"/>
          <w:u w:val="single"/>
        </w:rPr>
      </w:pPr>
      <w:r>
        <w:rPr>
          <w:sz w:val="28"/>
        </w:rPr>
        <w:t>«</w:t>
      </w:r>
      <w:r>
        <w:rPr>
          <w:sz w:val="28"/>
          <w:u w:val="single"/>
        </w:rPr>
        <w:t xml:space="preserve">  19  </w:t>
      </w:r>
      <w:r>
        <w:rPr>
          <w:sz w:val="28"/>
        </w:rPr>
        <w:t xml:space="preserve">» </w:t>
      </w:r>
      <w:r>
        <w:rPr>
          <w:sz w:val="28"/>
          <w:u w:val="single"/>
        </w:rPr>
        <w:t xml:space="preserve">  января   </w:t>
      </w:r>
      <w:r>
        <w:rPr>
          <w:sz w:val="28"/>
        </w:rPr>
        <w:t xml:space="preserve">2024 </w:t>
      </w:r>
      <w:r>
        <w:rPr>
          <w:sz w:val="28"/>
        </w:rPr>
        <w:t xml:space="preserve">г.                                                                                      № </w:t>
      </w:r>
      <w:r>
        <w:rPr>
          <w:sz w:val="28"/>
          <w:u w:val="single"/>
        </w:rPr>
        <w:t xml:space="preserve">   49  </w:t>
      </w:r>
    </w:p>
    <w:p w14:paraId="08000000">
      <w:pPr>
        <w:ind/>
        <w:jc w:val="center"/>
        <w:rPr>
          <w:sz w:val="28"/>
        </w:rPr>
      </w:pPr>
    </w:p>
    <w:p w14:paraId="09000000">
      <w:pPr>
        <w:ind/>
        <w:jc w:val="center"/>
        <w:rPr>
          <w:sz w:val="28"/>
        </w:rPr>
      </w:pPr>
      <w:r>
        <w:rPr>
          <w:sz w:val="28"/>
        </w:rPr>
        <w:t>п. Щепкин</w:t>
      </w:r>
    </w:p>
    <w:p w14:paraId="0A000000">
      <w:pPr>
        <w:ind/>
        <w:jc w:val="center"/>
      </w:pPr>
    </w:p>
    <w:p w14:paraId="0B000000">
      <w:pPr>
        <w:ind/>
        <w:contextualSpacing w:val="1"/>
        <w:jc w:val="both"/>
        <w:rPr>
          <w:sz w:val="28"/>
        </w:rPr>
      </w:pPr>
      <w:r>
        <w:rPr>
          <w:sz w:val="28"/>
        </w:rPr>
        <w:t>Об утверждении плана реализации</w:t>
      </w:r>
    </w:p>
    <w:p w14:paraId="0C000000">
      <w:pPr>
        <w:ind/>
        <w:contextualSpacing w:val="1"/>
        <w:jc w:val="both"/>
        <w:rPr>
          <w:sz w:val="28"/>
        </w:rPr>
      </w:pPr>
      <w:r>
        <w:rPr>
          <w:sz w:val="28"/>
        </w:rPr>
        <w:t>муниципальной программы</w:t>
      </w:r>
    </w:p>
    <w:p w14:paraId="0D000000">
      <w:pPr>
        <w:ind/>
        <w:contextualSpacing w:val="1"/>
        <w:jc w:val="both"/>
        <w:rPr>
          <w:sz w:val="28"/>
        </w:rPr>
      </w:pPr>
      <w:r>
        <w:rPr>
          <w:sz w:val="28"/>
        </w:rPr>
        <w:t xml:space="preserve">Щепкинского сельского поселения </w:t>
      </w:r>
    </w:p>
    <w:p w14:paraId="0E000000">
      <w:pPr>
        <w:ind/>
        <w:contextualSpacing w:val="1"/>
        <w:jc w:val="both"/>
        <w:rPr>
          <w:sz w:val="28"/>
        </w:rPr>
      </w:pPr>
      <w:r>
        <w:rPr>
          <w:sz w:val="28"/>
        </w:rPr>
        <w:t>«Развитие культуры» на 2024 год</w:t>
      </w:r>
    </w:p>
    <w:p w14:paraId="0F000000">
      <w:pPr>
        <w:ind w:firstLine="540" w:left="0"/>
        <w:jc w:val="both"/>
        <w:rPr>
          <w:sz w:val="28"/>
        </w:rPr>
      </w:pPr>
    </w:p>
    <w:p w14:paraId="10000000">
      <w:pPr>
        <w:ind w:firstLine="540" w:left="0"/>
        <w:jc w:val="both"/>
        <w:rPr>
          <w:sz w:val="28"/>
        </w:rPr>
      </w:pPr>
      <w:r>
        <w:rPr>
          <w:sz w:val="28"/>
        </w:rPr>
        <w:t>В соответствии постановлением Администрации Щепкинского сельского поселения от 12.09.2013 № 428 «Об утверждении Порядка разработки, реализации и оценки эффективности муниципальных программ Щ</w:t>
      </w:r>
      <w:r>
        <w:rPr>
          <w:sz w:val="28"/>
        </w:rPr>
        <w:t xml:space="preserve">епкинского сельского поселения», постановлением Администрации Щепкинского сельского поселения от 22.02.2018 № 89/1 «Об утверждении методических рекомендаций по разработке и реализации муниципальных программ Щепкинского сельского поселения», – </w:t>
      </w:r>
    </w:p>
    <w:p w14:paraId="11000000">
      <w:pPr>
        <w:ind/>
        <w:jc w:val="center"/>
        <w:rPr>
          <w:b w:val="1"/>
          <w:sz w:val="28"/>
        </w:rPr>
      </w:pPr>
    </w:p>
    <w:p w14:paraId="1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ПОСТАНОВЛЯЮ:</w:t>
      </w:r>
    </w:p>
    <w:p w14:paraId="13000000">
      <w:pPr>
        <w:ind w:firstLine="540" w:left="0"/>
        <w:jc w:val="both"/>
        <w:rPr>
          <w:sz w:val="28"/>
        </w:rPr>
      </w:pPr>
    </w:p>
    <w:p w14:paraId="14000000">
      <w:pPr>
        <w:ind w:firstLine="709" w:left="0"/>
        <w:jc w:val="both"/>
        <w:rPr>
          <w:sz w:val="28"/>
        </w:rPr>
      </w:pPr>
      <w:r>
        <w:rPr>
          <w:sz w:val="28"/>
        </w:rPr>
        <w:t>1. Утвердить план реализации муниципальной программы Щепкинского  сельского поселения «Развитие культуры» на 2024 год согласно приложению № 1 к настоящему постановлению.</w:t>
      </w:r>
    </w:p>
    <w:p w14:paraId="15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>Разместить</w:t>
      </w:r>
      <w:r>
        <w:rPr>
          <w:sz w:val="28"/>
        </w:rPr>
        <w:t xml:space="preserve"> настоящее постановление на официальном сайте Администрации Щепкинского </w:t>
      </w:r>
      <w:r>
        <w:rPr>
          <w:sz w:val="28"/>
        </w:rPr>
        <w:t>сельского поселения в сети Интернет</w:t>
      </w:r>
    </w:p>
    <w:p w14:paraId="16000000">
      <w:pPr>
        <w:ind w:firstLine="709" w:left="0"/>
        <w:jc w:val="both"/>
        <w:rPr>
          <w:spacing w:val="-8"/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>Контроль за</w:t>
      </w:r>
      <w:r>
        <w:rPr>
          <w:sz w:val="28"/>
        </w:rPr>
        <w:t xml:space="preserve"> исполнением постановления возложить на </w:t>
      </w:r>
      <w:r>
        <w:rPr>
          <w:spacing w:val="-8"/>
          <w:sz w:val="28"/>
        </w:rPr>
        <w:t>начальника отдела по общим, социальным и правовым вопросам Администрации Щепкинского сельского поселения.</w:t>
      </w:r>
    </w:p>
    <w:p w14:paraId="17000000">
      <w:pPr>
        <w:ind w:firstLine="709" w:left="0"/>
        <w:jc w:val="both"/>
        <w:rPr>
          <w:spacing w:val="-8"/>
          <w:sz w:val="28"/>
        </w:rPr>
      </w:pPr>
    </w:p>
    <w:p w14:paraId="18000000">
      <w:pPr>
        <w:ind w:firstLine="709" w:left="0"/>
        <w:jc w:val="both"/>
        <w:rPr>
          <w:spacing w:val="-8"/>
          <w:sz w:val="28"/>
        </w:rPr>
      </w:pPr>
    </w:p>
    <w:p w14:paraId="19000000">
      <w:pPr>
        <w:ind w:firstLine="709" w:left="0"/>
        <w:contextualSpacing w:val="1"/>
        <w:rPr>
          <w:spacing w:val="-8"/>
          <w:sz w:val="28"/>
        </w:rPr>
      </w:pP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</w:t>
      </w:r>
    </w:p>
    <w:p w14:paraId="1B000000">
      <w:pPr>
        <w:spacing w:after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Щепкинского сельского </w:t>
      </w:r>
    </w:p>
    <w:p w14:paraId="1C000000">
      <w:pPr>
        <w:spacing w:after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поселения Аксайского</w:t>
      </w:r>
    </w:p>
    <w:p w14:paraId="1D000000">
      <w:pPr>
        <w:widowControl w:val="1"/>
        <w:spacing w:line="100" w:lineRule="atLeast"/>
        <w:ind w:firstLine="15" w:left="0"/>
        <w:jc w:val="both"/>
        <w:rPr>
          <w:color w:val="000000"/>
          <w:spacing w:val="-8"/>
          <w:sz w:val="28"/>
        </w:rPr>
      </w:pPr>
      <w:r>
        <w:rPr>
          <w:rFonts w:ascii="Times New Roman" w:hAnsi="Times New Roman"/>
          <w:sz w:val="28"/>
        </w:rPr>
        <w:t xml:space="preserve">района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 А.М. Матвеев</w:t>
      </w:r>
    </w:p>
    <w:p w14:paraId="1E000000">
      <w:pPr>
        <w:widowControl w:val="1"/>
        <w:spacing w:line="100" w:lineRule="atLeast"/>
        <w:ind w:firstLine="15" w:left="0"/>
        <w:jc w:val="both"/>
        <w:rPr>
          <w:spacing w:val="-8"/>
          <w:sz w:val="28"/>
        </w:rPr>
      </w:pPr>
    </w:p>
    <w:p w14:paraId="1F000000">
      <w:pPr>
        <w:sectPr>
          <w:footerReference r:id="rId2" w:type="default"/>
          <w:pgSz w:h="16837" w:orient="portrait" w:w="11905"/>
          <w:pgMar w:bottom="1134" w:footer="720" w:gutter="0" w:header="720" w:left="1134" w:right="708" w:top="709"/>
        </w:sectPr>
      </w:pPr>
    </w:p>
    <w:p w14:paraId="20000000">
      <w:pPr>
        <w:spacing w:after="0" w:line="240" w:lineRule="auto"/>
        <w:ind w:firstLine="567" w:left="-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№ 1 к постановлению </w:t>
      </w:r>
    </w:p>
    <w:p w14:paraId="21000000">
      <w:pPr>
        <w:spacing w:after="0" w:line="240" w:lineRule="auto"/>
        <w:ind w:firstLine="567" w:left="-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Администрации Щепкинского </w:t>
      </w:r>
    </w:p>
    <w:p w14:paraId="22000000">
      <w:pPr>
        <w:spacing w:after="0" w:line="240" w:lineRule="auto"/>
        <w:ind w:firstLine="0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сельского поселения </w:t>
      </w:r>
    </w:p>
    <w:p w14:paraId="23000000">
      <w:pPr>
        <w:spacing w:after="0"/>
        <w:ind w:firstLine="0" w:left="-424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«</w:t>
      </w:r>
      <w:r>
        <w:rPr>
          <w:rFonts w:ascii="Times New Roman" w:hAnsi="Times New Roman"/>
          <w:sz w:val="24"/>
          <w:u w:val="single"/>
        </w:rPr>
        <w:t xml:space="preserve">  19  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  <w:u w:val="single"/>
        </w:rPr>
        <w:t xml:space="preserve">  января   </w:t>
      </w:r>
      <w:r>
        <w:rPr>
          <w:rFonts w:ascii="Times New Roman" w:hAnsi="Times New Roman"/>
          <w:sz w:val="24"/>
        </w:rPr>
        <w:t xml:space="preserve">2024 № </w:t>
      </w:r>
      <w:r>
        <w:rPr>
          <w:rFonts w:ascii="Times New Roman" w:hAnsi="Times New Roman"/>
          <w:sz w:val="24"/>
          <w:u w:val="single"/>
        </w:rPr>
        <w:t xml:space="preserve">  49  </w:t>
      </w:r>
    </w:p>
    <w:p w14:paraId="24000000">
      <w:pPr>
        <w:tabs>
          <w:tab w:leader="none" w:pos="9214" w:val="left"/>
        </w:tabs>
        <w:ind/>
        <w:jc w:val="center"/>
        <w:rPr>
          <w:b w:val="1"/>
          <w:sz w:val="28"/>
        </w:rPr>
      </w:pPr>
    </w:p>
    <w:p w14:paraId="25000000">
      <w:pPr>
        <w:tabs>
          <w:tab w:leader="none" w:pos="9214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План реализации </w:t>
      </w:r>
    </w:p>
    <w:p w14:paraId="26000000">
      <w:pPr>
        <w:tabs>
          <w:tab w:leader="none" w:pos="9214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муниципальной программы Щепкинского сельского </w:t>
      </w:r>
      <w:r>
        <w:rPr>
          <w:b w:val="1"/>
          <w:sz w:val="28"/>
        </w:rPr>
        <w:t>поселения «</w:t>
      </w:r>
      <w:r>
        <w:rPr>
          <w:rFonts w:ascii="Times New Roman CYR" w:hAnsi="Times New Roman CYR"/>
          <w:b w:val="1"/>
          <w:sz w:val="28"/>
        </w:rPr>
        <w:t>Развитие культуры» на 2023 г.</w:t>
      </w:r>
    </w:p>
    <w:p w14:paraId="27000000">
      <w:pPr>
        <w:tabs>
          <w:tab w:leader="none" w:pos="9214" w:val="left"/>
        </w:tabs>
        <w:ind/>
        <w:jc w:val="center"/>
        <w:rPr>
          <w:b w:val="1"/>
          <w:sz w:val="28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922"/>
        <w:gridCol w:w="2014"/>
        <w:gridCol w:w="2055"/>
        <w:gridCol w:w="2473"/>
        <w:gridCol w:w="1620"/>
        <w:gridCol w:w="1073"/>
        <w:gridCol w:w="1073"/>
        <w:gridCol w:w="1073"/>
        <w:gridCol w:w="1073"/>
        <w:gridCol w:w="1073"/>
      </w:tblGrid>
      <w:tr>
        <w:trPr>
          <w:trHeight w:hRule="atLeast" w:val="465"/>
        </w:trPr>
        <w:tc>
          <w:tcPr>
            <w:tcW w:type="dxa" w:w="19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ind/>
              <w:jc w:val="center"/>
            </w:pPr>
            <w:r>
              <w:t xml:space="preserve">№ </w:t>
            </w:r>
            <w:r>
              <w:t>п</w:t>
            </w:r>
            <w:r>
              <w:t>/</w:t>
            </w:r>
            <w:r>
              <w:t>п</w:t>
            </w:r>
          </w:p>
        </w:tc>
        <w:tc>
          <w:tcPr>
            <w:tcW w:type="dxa" w:w="20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ind/>
              <w:jc w:val="center"/>
            </w:pPr>
            <w:r>
              <w:t xml:space="preserve">Наименование подпрограммы, основного мероприятия, мероприятия программы, контрольного события программы </w:t>
            </w:r>
          </w:p>
        </w:tc>
        <w:tc>
          <w:tcPr>
            <w:tcW w:type="dxa" w:w="205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ind/>
              <w:jc w:val="center"/>
            </w:pPr>
            <w:r>
              <w:t>Ответственный исполнитель</w:t>
            </w:r>
          </w:p>
          <w:p w14:paraId="2B000000">
            <w:pPr>
              <w:ind/>
              <w:jc w:val="center"/>
            </w:pPr>
            <w:r>
              <w:t>(заместитель руководителя ОИВ/ФИО)</w:t>
            </w:r>
          </w:p>
        </w:tc>
        <w:tc>
          <w:tcPr>
            <w:tcW w:type="dxa" w:w="24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ind/>
              <w:jc w:val="center"/>
            </w:pPr>
            <w:r>
              <w:t>Результат</w:t>
            </w:r>
          </w:p>
          <w:p w14:paraId="2D000000">
            <w:pPr>
              <w:ind/>
              <w:jc w:val="center"/>
            </w:pPr>
            <w:r>
              <w:t>(краткое описание)</w:t>
            </w:r>
          </w:p>
        </w:tc>
        <w:tc>
          <w:tcPr>
            <w:tcW w:type="dxa" w:w="16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ind/>
              <w:jc w:val="center"/>
            </w:pPr>
            <w:r>
              <w:t>Срок  реализа</w:t>
            </w:r>
            <w:r>
              <w:t>ции</w:t>
            </w:r>
          </w:p>
          <w:p w14:paraId="2F000000">
            <w:pPr>
              <w:ind/>
              <w:jc w:val="center"/>
            </w:pPr>
            <w:r>
              <w:t>(дата)</w:t>
            </w:r>
          </w:p>
        </w:tc>
        <w:tc>
          <w:tcPr>
            <w:tcW w:type="dxa" w:w="536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ind/>
              <w:jc w:val="center"/>
            </w:pPr>
            <w:r>
              <w:t>Объем расходов (тыс. рублей)</w:t>
            </w:r>
          </w:p>
        </w:tc>
      </w:tr>
      <w:tr>
        <w:trPr>
          <w:trHeight w:hRule="atLeast" w:val="1740"/>
        </w:trPr>
        <w:tc>
          <w:tcPr>
            <w:tcW w:type="dxa" w:w="19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ind/>
              <w:jc w:val="center"/>
            </w:pPr>
            <w:r>
              <w:t>Всего</w:t>
            </w:r>
          </w:p>
        </w:tc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ind/>
              <w:jc w:val="center"/>
            </w:pPr>
            <w:r>
              <w:t>Областной бюджет</w:t>
            </w:r>
          </w:p>
        </w:tc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ind/>
              <w:jc w:val="center"/>
            </w:pPr>
            <w:r>
              <w:t xml:space="preserve">Федеральный бюджет  </w:t>
            </w:r>
          </w:p>
        </w:tc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ind/>
              <w:jc w:val="center"/>
            </w:pPr>
            <w:r>
              <w:t xml:space="preserve">Местный бюджет </w:t>
            </w:r>
          </w:p>
        </w:tc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ind/>
              <w:jc w:val="center"/>
            </w:pPr>
            <w:r>
              <w:t xml:space="preserve">Внебюджетные источники </w:t>
            </w:r>
          </w:p>
        </w:tc>
      </w:tr>
      <w:tr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ind/>
              <w:jc w:val="center"/>
            </w:pPr>
            <w:r>
              <w:t>1</w:t>
            </w:r>
          </w:p>
        </w:tc>
        <w:tc>
          <w:tcPr>
            <w:tcW w:type="dxa" w:w="2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ind/>
              <w:jc w:val="center"/>
            </w:pPr>
            <w:r>
              <w:t>2</w:t>
            </w:r>
          </w:p>
        </w:tc>
        <w:tc>
          <w:tcPr>
            <w:tcW w:type="dxa" w:w="2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ind/>
              <w:jc w:val="center"/>
            </w:pPr>
            <w:r>
              <w:t>3</w:t>
            </w:r>
          </w:p>
        </w:tc>
        <w:tc>
          <w:tcPr>
            <w:tcW w:type="dxa" w:w="2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ind/>
              <w:jc w:val="center"/>
            </w:pPr>
            <w:r>
              <w:t>4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ind/>
              <w:jc w:val="center"/>
            </w:pPr>
            <w:r>
              <w:t>5</w:t>
            </w:r>
          </w:p>
        </w:tc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ind/>
              <w:jc w:val="center"/>
            </w:pPr>
            <w:r>
              <w:t>6</w:t>
            </w:r>
          </w:p>
        </w:tc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ind/>
              <w:jc w:val="center"/>
            </w:pPr>
            <w:r>
              <w:t>7</w:t>
            </w:r>
          </w:p>
        </w:tc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ind/>
              <w:jc w:val="center"/>
            </w:pPr>
            <w:r>
              <w:t>8</w:t>
            </w:r>
          </w:p>
        </w:tc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ind/>
              <w:jc w:val="center"/>
            </w:pPr>
            <w:r>
              <w:t>9</w:t>
            </w:r>
          </w:p>
        </w:tc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ind/>
              <w:jc w:val="center"/>
            </w:pPr>
            <w:r>
              <w:t>10</w:t>
            </w:r>
          </w:p>
        </w:tc>
      </w:tr>
      <w:tr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rPr>
                <w:b w:val="1"/>
              </w:rPr>
            </w:pPr>
            <w:r>
              <w:rPr>
                <w:b w:val="1"/>
              </w:rPr>
              <w:t>1.</w:t>
            </w:r>
          </w:p>
          <w:p w14:paraId="41000000">
            <w:pPr>
              <w:rPr>
                <w:b w:val="1"/>
              </w:rPr>
            </w:pPr>
            <w:r>
              <w:rPr>
                <w:b w:val="1"/>
              </w:rPr>
              <w:t>Подпрограмма 1</w:t>
            </w:r>
          </w:p>
        </w:tc>
        <w:tc>
          <w:tcPr>
            <w:tcW w:type="dxa" w:w="2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rPr>
                <w:b w:val="1"/>
              </w:rPr>
            </w:pPr>
            <w:r>
              <w:rPr>
                <w:b w:val="1"/>
              </w:rPr>
              <w:t xml:space="preserve"> «Содержание и ремонт мемориалов Щепкинского сельского поселения»</w:t>
            </w:r>
          </w:p>
        </w:tc>
        <w:tc>
          <w:tcPr>
            <w:tcW w:type="dxa" w:w="2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rPr>
                <w:b w:val="1"/>
              </w:rPr>
            </w:pPr>
            <w:r>
              <w:rPr>
                <w:b w:val="1"/>
              </w:rPr>
              <w:t>Начальник отдела по</w:t>
            </w:r>
            <w:r>
              <w:rPr>
                <w:b w:val="1"/>
              </w:rPr>
              <w:t xml:space="preserve"> общим, социальным и правовым вопросам </w:t>
            </w:r>
          </w:p>
        </w:tc>
        <w:tc>
          <w:tcPr>
            <w:tcW w:type="dxa" w:w="2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rPr>
                <w:b w:val="1"/>
              </w:rPr>
            </w:pPr>
            <w:r>
              <w:rPr>
                <w:b w:val="1"/>
              </w:rPr>
              <w:t xml:space="preserve">Сохранность имеющихся на территории Щепкинского сельского поселения мемориалов 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с 01.01.2024  по 31.12.2024</w:t>
            </w:r>
          </w:p>
        </w:tc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r>
              <w:t>1.1.</w:t>
            </w:r>
          </w:p>
          <w:p w14:paraId="4C000000">
            <w:r>
              <w:t xml:space="preserve">Мероприятие 1 </w:t>
            </w:r>
          </w:p>
        </w:tc>
        <w:tc>
          <w:tcPr>
            <w:tcW w:type="dxa" w:w="2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r>
              <w:t>Содержание и ремонт мемориалов Щепкинского</w:t>
            </w:r>
            <w:r>
              <w:t xml:space="preserve"> сельского поселения </w:t>
            </w:r>
          </w:p>
        </w:tc>
        <w:tc>
          <w:tcPr>
            <w:tcW w:type="dxa" w:w="2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r>
              <w:t xml:space="preserve">Начальник отдела по общим, социальным и правовым вопросам </w:t>
            </w:r>
          </w:p>
        </w:tc>
        <w:tc>
          <w:tcPr>
            <w:tcW w:type="dxa" w:w="2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r>
              <w:t xml:space="preserve">Сохранность мемориалов Щепкинского сельского поселения в надлежащем виде 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00000">
            <w:r>
              <w:t>с 01.01.2024  по 31.12.2024</w:t>
            </w:r>
          </w:p>
        </w:tc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00000">
            <w:pPr>
              <w:ind/>
              <w:jc w:val="center"/>
            </w:pPr>
            <w:r>
              <w:t>0,0</w:t>
            </w:r>
          </w:p>
        </w:tc>
      </w:tr>
      <w:tr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r>
              <w:t>1.2.</w:t>
            </w:r>
          </w:p>
          <w:p w14:paraId="57000000">
            <w:r>
              <w:t>Мероприятие 2</w:t>
            </w:r>
          </w:p>
        </w:tc>
        <w:tc>
          <w:tcPr>
            <w:tcW w:type="dxa" w:w="2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r>
              <w:t xml:space="preserve">Создание условий для </w:t>
            </w:r>
            <w:r>
              <w:t xml:space="preserve">организации массового отдыха и досуга, обеспечение жителей района услугами учреждений культуры </w:t>
            </w:r>
          </w:p>
        </w:tc>
        <w:tc>
          <w:tcPr>
            <w:tcW w:type="dxa" w:w="2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r>
              <w:t xml:space="preserve">Начальник отдела по общим, </w:t>
            </w:r>
            <w:r>
              <w:t xml:space="preserve">социальным и правовым вопросам </w:t>
            </w:r>
          </w:p>
        </w:tc>
        <w:tc>
          <w:tcPr>
            <w:tcW w:type="dxa" w:w="2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r>
              <w:t xml:space="preserve">Создание условий для удовлетворения </w:t>
            </w:r>
            <w:r>
              <w:t xml:space="preserve">потребностей населения </w:t>
            </w:r>
            <w:r>
              <w:t>в</w:t>
            </w:r>
            <w:r>
              <w:t xml:space="preserve"> куль</w:t>
            </w:r>
            <w:r>
              <w:t>турно</w:t>
            </w:r>
          </w:p>
          <w:p w14:paraId="5B000000">
            <w:r>
              <w:t>досуговой</w:t>
            </w:r>
            <w:r>
              <w:t xml:space="preserve"> деятельности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ind/>
              <w:jc w:val="center"/>
            </w:pPr>
            <w:r>
              <w:t>с 01.01.2024  по 31.12.2024</w:t>
            </w:r>
          </w:p>
        </w:tc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ind/>
              <w:jc w:val="center"/>
            </w:pPr>
            <w:r>
              <w:t>0,0</w:t>
            </w:r>
          </w:p>
        </w:tc>
      </w:tr>
      <w:tr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rPr>
                <w:b w:val="1"/>
              </w:rPr>
            </w:pPr>
            <w:r>
              <w:rPr>
                <w:b w:val="1"/>
              </w:rPr>
              <w:t>2.</w:t>
            </w:r>
          </w:p>
          <w:p w14:paraId="63000000">
            <w:pPr>
              <w:rPr>
                <w:b w:val="1"/>
              </w:rPr>
            </w:pPr>
            <w:r>
              <w:rPr>
                <w:b w:val="1"/>
              </w:rPr>
              <w:t>Подпрограмма 2</w:t>
            </w:r>
          </w:p>
        </w:tc>
        <w:tc>
          <w:tcPr>
            <w:tcW w:type="dxa" w:w="2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rPr>
                <w:b w:val="1"/>
              </w:rPr>
            </w:pPr>
            <w:r>
              <w:rPr>
                <w:b w:val="1"/>
              </w:rPr>
              <w:t xml:space="preserve">Развитие домов культуры </w:t>
            </w:r>
          </w:p>
        </w:tc>
        <w:tc>
          <w:tcPr>
            <w:tcW w:type="dxa" w:w="2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rPr>
                <w:b w:val="1"/>
              </w:rPr>
            </w:pPr>
            <w:r>
              <w:rPr>
                <w:b w:val="1"/>
              </w:rPr>
              <w:t xml:space="preserve">Начальник отдела по общим, </w:t>
            </w:r>
            <w:r>
              <w:rPr>
                <w:b w:val="1"/>
              </w:rPr>
              <w:t xml:space="preserve">социальным и правовым вопросам </w:t>
            </w:r>
          </w:p>
        </w:tc>
        <w:tc>
          <w:tcPr>
            <w:tcW w:type="dxa" w:w="2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rPr>
                <w:b w:val="1"/>
              </w:rPr>
            </w:pPr>
            <w:r>
              <w:rPr>
                <w:b w:val="1"/>
              </w:rPr>
              <w:t xml:space="preserve">Повышение уровня удовлетворенности жителей района качеством  предоставления муниципальных услуг муниципальными учреждениями культуры 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rPr>
                <w:b w:val="1"/>
              </w:rPr>
            </w:pPr>
            <w:r>
              <w:rPr>
                <w:b w:val="1"/>
              </w:rPr>
              <w:t>с 01.01.2024  по 31.12.2024</w:t>
            </w:r>
          </w:p>
        </w:tc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27 901,1</w:t>
            </w:r>
          </w:p>
        </w:tc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3 580,7</w:t>
            </w:r>
          </w:p>
        </w:tc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24 320,4</w:t>
            </w:r>
          </w:p>
        </w:tc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r>
              <w:t>2.1. Мероприятие</w:t>
            </w:r>
            <w:r>
              <w:t xml:space="preserve"> 1</w:t>
            </w:r>
          </w:p>
        </w:tc>
        <w:tc>
          <w:tcPr>
            <w:tcW w:type="dxa" w:w="2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r>
              <w:t xml:space="preserve">Создание условий для организации массового отдыха и досуга, обеспечение жителей района услугами учреждений культуры </w:t>
            </w:r>
          </w:p>
        </w:tc>
        <w:tc>
          <w:tcPr>
            <w:tcW w:type="dxa" w:w="2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r>
              <w:t xml:space="preserve">Начальник отдела по общим, социальным и правовым вопросам </w:t>
            </w:r>
          </w:p>
        </w:tc>
        <w:tc>
          <w:tcPr>
            <w:tcW w:type="dxa" w:w="2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r>
              <w:t>Повышение уровня удовлетворенности жителей района  качеством п</w:t>
            </w:r>
            <w:r>
              <w:t xml:space="preserve">редоставления муниципальных услуг муниципальными учреждениями культуры 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00000">
            <w:pPr>
              <w:ind/>
              <w:jc w:val="center"/>
            </w:pPr>
            <w:r>
              <w:t>с 01.01.2024 по 31.12.2024</w:t>
            </w:r>
          </w:p>
        </w:tc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00000">
            <w:pPr>
              <w:ind/>
              <w:jc w:val="center"/>
            </w:pPr>
            <w:r>
              <w:t>21 183,6</w:t>
            </w:r>
          </w:p>
        </w:tc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00000">
            <w:pPr>
              <w:ind/>
              <w:jc w:val="center"/>
            </w:pPr>
            <w:r>
              <w:t>21 183,6</w:t>
            </w:r>
          </w:p>
        </w:tc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00000">
            <w:pPr>
              <w:ind/>
              <w:jc w:val="center"/>
            </w:pPr>
            <w:r>
              <w:t>0,0</w:t>
            </w:r>
          </w:p>
        </w:tc>
      </w:tr>
      <w:tr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r>
              <w:t>2.2 Мероприятие 2</w:t>
            </w:r>
          </w:p>
        </w:tc>
        <w:tc>
          <w:tcPr>
            <w:tcW w:type="dxa" w:w="2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r>
              <w:t>Государственная поддержка лучших работников муниципальных учреждений культуры</w:t>
            </w:r>
          </w:p>
        </w:tc>
        <w:tc>
          <w:tcPr>
            <w:tcW w:type="dxa" w:w="2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r>
              <w:t xml:space="preserve">Начальник отдела по общим, </w:t>
            </w:r>
            <w:r>
              <w:t xml:space="preserve">социальным и правовым вопросам </w:t>
            </w:r>
          </w:p>
        </w:tc>
        <w:tc>
          <w:tcPr>
            <w:tcW w:type="dxa" w:w="2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r>
              <w:t xml:space="preserve">Повышение уровня удовлетворенности жителей района  качеством предоставления муниципальных услуг муниципальными учреждениями культуры 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00000">
            <w:pPr>
              <w:ind/>
              <w:jc w:val="center"/>
            </w:pPr>
            <w:r>
              <w:t>с 01.01.2024  по 31.12.2024</w:t>
            </w:r>
          </w:p>
        </w:tc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ind/>
              <w:jc w:val="center"/>
            </w:pPr>
            <w:r>
              <w:t>0,0</w:t>
            </w:r>
          </w:p>
        </w:tc>
      </w:tr>
      <w:tr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r>
              <w:t>2.3 Мероприятие 3</w:t>
            </w:r>
          </w:p>
        </w:tc>
        <w:tc>
          <w:tcPr>
            <w:tcW w:type="dxa" w:w="2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r>
              <w:t>Расходы на реализацию проектов инициативного бюджетирования</w:t>
            </w:r>
          </w:p>
        </w:tc>
        <w:tc>
          <w:tcPr>
            <w:tcW w:type="dxa" w:w="2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r>
              <w:t xml:space="preserve">Начальник отдела по общим, </w:t>
            </w:r>
            <w:r>
              <w:t>социальным и правовым вопросам</w:t>
            </w:r>
          </w:p>
        </w:tc>
        <w:tc>
          <w:tcPr>
            <w:tcW w:type="dxa" w:w="2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r>
              <w:t xml:space="preserve">Повышение уровня удовлетворенности жителей района  качеством предоставления муниципальных услуг муниципальными учреждениями культуры 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00000">
            <w:pPr>
              <w:ind/>
              <w:jc w:val="center"/>
            </w:pPr>
            <w:r>
              <w:t>с 01.01.2024  по 31.12.2024</w:t>
            </w:r>
          </w:p>
        </w:tc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00000">
            <w:pPr>
              <w:ind/>
              <w:jc w:val="center"/>
            </w:pPr>
            <w:r>
              <w:t>6 717,5</w:t>
            </w:r>
          </w:p>
        </w:tc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00000">
            <w:pPr>
              <w:ind/>
              <w:jc w:val="center"/>
            </w:pPr>
            <w:r>
              <w:t>3 580,7</w:t>
            </w:r>
          </w:p>
        </w:tc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00000">
            <w:pPr>
              <w:ind/>
              <w:jc w:val="center"/>
            </w:pPr>
            <w:r>
              <w:t>3 136,8</w:t>
            </w:r>
          </w:p>
        </w:tc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00000">
            <w:pPr>
              <w:ind/>
              <w:jc w:val="center"/>
            </w:pPr>
            <w:r>
              <w:t>0,0</w:t>
            </w:r>
          </w:p>
        </w:tc>
      </w:tr>
      <w:tr>
        <w:tc>
          <w:tcPr>
            <w:tcW w:type="dxa" w:w="1008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Итого по муниципальной программе:</w:t>
            </w:r>
          </w:p>
        </w:tc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27 901,1</w:t>
            </w:r>
          </w:p>
        </w:tc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3 580,7</w:t>
            </w:r>
          </w:p>
        </w:tc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24 320,4</w:t>
            </w:r>
          </w:p>
        </w:tc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00000">
            <w:pPr>
              <w:ind/>
              <w:jc w:val="center"/>
            </w:pPr>
            <w:r>
              <w:t>0,0</w:t>
            </w:r>
          </w:p>
        </w:tc>
      </w:tr>
    </w:tbl>
    <w:p w14:paraId="91000000"/>
    <w:sectPr>
      <w:footerReference r:id="rId1" w:type="default"/>
      <w:pgSz w:h="11908" w:orient="landscape" w:w="16848"/>
      <w:pgMar w:bottom="428" w:footer="720" w:gutter="0" w:header="720" w:left="851" w:right="549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6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0"/>
      <w:ind/>
    </w:pPr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Знак примечания1"/>
    <w:link w:val="Style_3_ch"/>
    <w:rPr>
      <w:sz w:val="16"/>
    </w:rPr>
  </w:style>
  <w:style w:styleId="Style_3_ch" w:type="character">
    <w:name w:val="Знак примечания1"/>
    <w:link w:val="Style_3"/>
    <w:rPr>
      <w:sz w:val="16"/>
    </w:rPr>
  </w:style>
  <w:style w:styleId="Style_4" w:type="paragraph">
    <w:name w:val="toc 2"/>
    <w:next w:val="Style_2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Основной шрифт абзаца1"/>
    <w:link w:val="Style_5_ch"/>
  </w:style>
  <w:style w:styleId="Style_5_ch" w:type="character">
    <w:name w:val="Основной шрифт абзаца1"/>
    <w:link w:val="Style_5"/>
  </w:style>
  <w:style w:styleId="Style_6" w:type="paragraph">
    <w:name w:val="toc 4"/>
    <w:next w:val="Style_2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Body Text Indent"/>
    <w:basedOn w:val="Style_2"/>
    <w:link w:val="Style_7_ch"/>
    <w:pPr>
      <w:spacing w:after="120" w:line="100" w:lineRule="atLeast"/>
      <w:ind w:firstLine="0" w:left="283"/>
    </w:pPr>
  </w:style>
  <w:style w:styleId="Style_7_ch" w:type="character">
    <w:name w:val="Body Text Indent"/>
    <w:basedOn w:val="Style_2_ch"/>
    <w:link w:val="Style_7"/>
  </w:style>
  <w:style w:styleId="Style_8" w:type="paragraph">
    <w:name w:val="toc 6"/>
    <w:next w:val="Style_2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Название1"/>
    <w:basedOn w:val="Style_2"/>
    <w:link w:val="Style_9_ch"/>
    <w:pPr>
      <w:spacing w:after="120" w:before="120"/>
      <w:ind/>
    </w:pPr>
    <w:rPr>
      <w:i w:val="1"/>
    </w:rPr>
  </w:style>
  <w:style w:styleId="Style_9_ch" w:type="character">
    <w:name w:val="Название1"/>
    <w:basedOn w:val="Style_2_ch"/>
    <w:link w:val="Style_9"/>
    <w:rPr>
      <w:i w:val="1"/>
    </w:rPr>
  </w:style>
  <w:style w:styleId="Style_10" w:type="paragraph">
    <w:name w:val="toc 7"/>
    <w:next w:val="Style_2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Body Text"/>
    <w:basedOn w:val="Style_2"/>
    <w:link w:val="Style_11_ch"/>
    <w:pPr>
      <w:spacing w:after="120"/>
      <w:ind/>
    </w:pPr>
  </w:style>
  <w:style w:styleId="Style_11_ch" w:type="character">
    <w:name w:val="Body Text"/>
    <w:basedOn w:val="Style_2_ch"/>
    <w:link w:val="Style_11"/>
  </w:style>
  <w:style w:styleId="Style_12" w:type="paragraph">
    <w:name w:val="heading 3"/>
    <w:next w:val="Style_2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ConsPlusCell"/>
    <w:link w:val="Style_13_ch"/>
    <w:pPr>
      <w:widowControl w:val="0"/>
      <w:ind/>
    </w:pPr>
    <w:rPr>
      <w:rFonts w:ascii="Arial" w:hAnsi="Arial"/>
    </w:rPr>
  </w:style>
  <w:style w:styleId="Style_13_ch" w:type="character">
    <w:name w:val="ConsPlusCell"/>
    <w:link w:val="Style_13"/>
    <w:rPr>
      <w:rFonts w:ascii="Arial" w:hAnsi="Arial"/>
    </w:rPr>
  </w:style>
  <w:style w:styleId="Style_14" w:type="paragraph">
    <w:name w:val="Символ нумерации"/>
    <w:link w:val="Style_14_ch"/>
  </w:style>
  <w:style w:styleId="Style_14_ch" w:type="character">
    <w:name w:val="Символ нумерации"/>
    <w:link w:val="Style_14"/>
  </w:style>
  <w:style w:styleId="Style_15" w:type="paragraph">
    <w:name w:val="Гиперссылка1"/>
    <w:link w:val="Style_15_ch"/>
    <w:rPr>
      <w:color w:val="0000FF"/>
      <w:u w:val="single"/>
    </w:rPr>
  </w:style>
  <w:style w:styleId="Style_15_ch" w:type="character">
    <w:name w:val="Гиперссылка1"/>
    <w:link w:val="Style_15"/>
    <w:rPr>
      <w:color w:val="0000FF"/>
      <w:u w:val="single"/>
    </w:rPr>
  </w:style>
  <w:style w:styleId="Style_16" w:type="paragraph">
    <w:name w:val="ConsPlusTitle"/>
    <w:link w:val="Style_16_ch"/>
    <w:pPr>
      <w:widowControl w:val="0"/>
      <w:ind/>
    </w:pPr>
    <w:rPr>
      <w:rFonts w:ascii="Arial" w:hAnsi="Arial"/>
      <w:b w:val="1"/>
    </w:rPr>
  </w:style>
  <w:style w:styleId="Style_16_ch" w:type="character">
    <w:name w:val="ConsPlusTitle"/>
    <w:link w:val="Style_16"/>
    <w:rPr>
      <w:rFonts w:ascii="Arial" w:hAnsi="Arial"/>
      <w:b w:val="1"/>
    </w:rPr>
  </w:style>
  <w:style w:styleId="Style_17" w:type="paragraph">
    <w:name w:val="toc 3"/>
    <w:next w:val="Style_2"/>
    <w:link w:val="Style_17_ch"/>
    <w:uiPriority w:val="39"/>
    <w:pPr>
      <w:ind w:firstLine="0" w:left="400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No Spacing"/>
    <w:link w:val="Style_18_ch"/>
    <w:pPr>
      <w:ind w:firstLine="709" w:left="0"/>
      <w:jc w:val="both"/>
    </w:pPr>
    <w:rPr>
      <w:sz w:val="28"/>
    </w:rPr>
  </w:style>
  <w:style w:styleId="Style_18_ch" w:type="character">
    <w:name w:val="No Spacing"/>
    <w:link w:val="Style_18"/>
    <w:rPr>
      <w:sz w:val="28"/>
    </w:rPr>
  </w:style>
  <w:style w:styleId="Style_19" w:type="paragraph">
    <w:name w:val="Маркеры списка"/>
    <w:link w:val="Style_19_ch"/>
    <w:rPr>
      <w:rFonts w:ascii="OpenSymbol" w:hAnsi="OpenSymbol"/>
    </w:rPr>
  </w:style>
  <w:style w:styleId="Style_19_ch" w:type="character">
    <w:name w:val="Маркеры списка"/>
    <w:link w:val="Style_19"/>
    <w:rPr>
      <w:rFonts w:ascii="OpenSymbol" w:hAnsi="OpenSymbol"/>
    </w:rPr>
  </w:style>
  <w:style w:styleId="Style_20" w:type="paragraph">
    <w:name w:val="heading 5"/>
    <w:next w:val="Style_2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Обычный1"/>
    <w:link w:val="Style_21_ch"/>
    <w:rPr>
      <w:sz w:val="24"/>
    </w:rPr>
  </w:style>
  <w:style w:styleId="Style_21_ch" w:type="character">
    <w:name w:val="Обычный1"/>
    <w:link w:val="Style_21"/>
    <w:rPr>
      <w:sz w:val="24"/>
    </w:rPr>
  </w:style>
  <w:style w:styleId="Style_22" w:type="paragraph">
    <w:name w:val="Заголовок таблицы"/>
    <w:basedOn w:val="Style_23"/>
    <w:link w:val="Style_22_ch"/>
    <w:pPr>
      <w:ind/>
      <w:jc w:val="center"/>
    </w:pPr>
    <w:rPr>
      <w:b w:val="1"/>
    </w:rPr>
  </w:style>
  <w:style w:styleId="Style_22_ch" w:type="character">
    <w:name w:val="Заголовок таблицы"/>
    <w:basedOn w:val="Style_23_ch"/>
    <w:link w:val="Style_22"/>
    <w:rPr>
      <w:b w:val="1"/>
    </w:rPr>
  </w:style>
  <w:style w:styleId="Style_24" w:type="paragraph">
    <w:name w:val="Default"/>
    <w:link w:val="Style_24_ch"/>
    <w:rPr>
      <w:sz w:val="24"/>
    </w:rPr>
  </w:style>
  <w:style w:styleId="Style_24_ch" w:type="character">
    <w:name w:val="Default"/>
    <w:link w:val="Style_24"/>
    <w:rPr>
      <w:sz w:val="24"/>
    </w:rPr>
  </w:style>
  <w:style w:styleId="Style_25" w:type="paragraph">
    <w:name w:val="List"/>
    <w:basedOn w:val="Style_11"/>
    <w:link w:val="Style_25_ch"/>
  </w:style>
  <w:style w:styleId="Style_25_ch" w:type="character">
    <w:name w:val="List"/>
    <w:basedOn w:val="Style_11_ch"/>
    <w:link w:val="Style_25"/>
  </w:style>
  <w:style w:styleId="Style_26" w:type="paragraph">
    <w:name w:val="heading 1"/>
    <w:basedOn w:val="Style_2"/>
    <w:next w:val="Style_2"/>
    <w:link w:val="Style_26_ch"/>
    <w:uiPriority w:val="9"/>
    <w:qFormat/>
    <w:pPr>
      <w:keepNext w:val="1"/>
      <w:widowControl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6_ch" w:type="character">
    <w:name w:val="heading 1"/>
    <w:basedOn w:val="Style_2_ch"/>
    <w:link w:val="Style_26"/>
    <w:rPr>
      <w:rFonts w:ascii="Arial" w:hAnsi="Arial"/>
      <w:b w:val="1"/>
      <w:sz w:val="32"/>
    </w:rPr>
  </w:style>
  <w:style w:styleId="Style_27" w:type="paragraph">
    <w:name w:val="ConsPlusNormal"/>
    <w:link w:val="Style_27_ch"/>
    <w:pPr>
      <w:widowControl w:val="0"/>
      <w:ind/>
    </w:pPr>
    <w:rPr>
      <w:sz w:val="24"/>
    </w:rPr>
  </w:style>
  <w:style w:styleId="Style_27_ch" w:type="character">
    <w:name w:val="ConsPlusNormal"/>
    <w:link w:val="Style_27"/>
    <w:rPr>
      <w:sz w:val="24"/>
    </w:rPr>
  </w:style>
  <w:style w:styleId="Style_28" w:type="paragraph">
    <w:name w:val="Hyperlink"/>
    <w:link w:val="Style_28_ch"/>
    <w:rPr>
      <w:color w:val="0000FF"/>
      <w:u w:val="single"/>
    </w:rPr>
  </w:style>
  <w:style w:styleId="Style_28_ch" w:type="character">
    <w:name w:val="Hyperlink"/>
    <w:link w:val="Style_28"/>
    <w:rPr>
      <w:color w:val="0000FF"/>
      <w:u w:val="single"/>
    </w:rPr>
  </w:style>
  <w:style w:styleId="Style_29" w:type="paragraph">
    <w:name w:val="Footnote"/>
    <w:link w:val="Style_29_ch"/>
    <w:pPr>
      <w:ind w:firstLine="851" w:left="0"/>
      <w:jc w:val="both"/>
    </w:pPr>
    <w:rPr>
      <w:rFonts w:ascii="XO Thames" w:hAnsi="XO Thames"/>
      <w:sz w:val="22"/>
    </w:rPr>
  </w:style>
  <w:style w:styleId="Style_29_ch" w:type="character">
    <w:name w:val="Footnote"/>
    <w:link w:val="Style_29"/>
    <w:rPr>
      <w:rFonts w:ascii="XO Thames" w:hAnsi="XO Thames"/>
      <w:sz w:val="22"/>
    </w:rPr>
  </w:style>
  <w:style w:styleId="Style_30" w:type="paragraph">
    <w:name w:val="annotation text"/>
    <w:basedOn w:val="Style_2"/>
    <w:link w:val="Style_30_ch"/>
    <w:rPr>
      <w:sz w:val="20"/>
    </w:rPr>
  </w:style>
  <w:style w:styleId="Style_30_ch" w:type="character">
    <w:name w:val="annotation text"/>
    <w:basedOn w:val="Style_2_ch"/>
    <w:link w:val="Style_30"/>
    <w:rPr>
      <w:sz w:val="20"/>
    </w:rPr>
  </w:style>
  <w:style w:styleId="Style_31" w:type="paragraph">
    <w:name w:val="toc 1"/>
    <w:next w:val="Style_2"/>
    <w:link w:val="Style_31_ch"/>
    <w:uiPriority w:val="39"/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32" w:type="paragraph">
    <w:name w:val="Header and Footer"/>
    <w:link w:val="Style_32_ch"/>
    <w:pPr>
      <w:ind/>
      <w:jc w:val="both"/>
    </w:pPr>
    <w:rPr>
      <w:rFonts w:ascii="XO Thames" w:hAnsi="XO Thames"/>
    </w:rPr>
  </w:style>
  <w:style w:styleId="Style_32_ch" w:type="character">
    <w:name w:val="Header and Footer"/>
    <w:link w:val="Style_32"/>
    <w:rPr>
      <w:rFonts w:ascii="XO Thames" w:hAnsi="XO Thames"/>
    </w:rPr>
  </w:style>
  <w:style w:styleId="Style_33" w:type="paragraph">
    <w:name w:val="toc 9"/>
    <w:next w:val="Style_2"/>
    <w:link w:val="Style_33_ch"/>
    <w:uiPriority w:val="39"/>
    <w:pPr>
      <w:ind w:firstLine="0" w:left="1600"/>
    </w:pPr>
    <w:rPr>
      <w:rFonts w:ascii="XO Thames" w:hAnsi="XO Thames"/>
      <w:sz w:val="28"/>
    </w:rPr>
  </w:style>
  <w:style w:styleId="Style_33_ch" w:type="character">
    <w:name w:val="toc 9"/>
    <w:link w:val="Style_33"/>
    <w:rPr>
      <w:rFonts w:ascii="XO Thames" w:hAnsi="XO Thames"/>
      <w:sz w:val="28"/>
    </w:rPr>
  </w:style>
  <w:style w:styleId="Style_34" w:type="paragraph">
    <w:name w:val="Default Paragraph Font"/>
    <w:link w:val="Style_34_ch"/>
  </w:style>
  <w:style w:styleId="Style_34_ch" w:type="character">
    <w:name w:val="Default Paragraph Font"/>
    <w:link w:val="Style_34"/>
  </w:style>
  <w:style w:styleId="Style_35" w:type="paragraph">
    <w:name w:val="toc 8"/>
    <w:next w:val="Style_2"/>
    <w:link w:val="Style_35_ch"/>
    <w:uiPriority w:val="39"/>
    <w:pPr>
      <w:ind w:firstLine="0" w:left="1400"/>
    </w:pPr>
    <w:rPr>
      <w:rFonts w:ascii="XO Thames" w:hAnsi="XO Thames"/>
      <w:sz w:val="28"/>
    </w:rPr>
  </w:style>
  <w:style w:styleId="Style_35_ch" w:type="character">
    <w:name w:val="toc 8"/>
    <w:link w:val="Style_35"/>
    <w:rPr>
      <w:rFonts w:ascii="XO Thames" w:hAnsi="XO Thames"/>
      <w:sz w:val="28"/>
    </w:rPr>
  </w:style>
  <w:style w:styleId="Style_23" w:type="paragraph">
    <w:name w:val="Содержимое таблицы"/>
    <w:basedOn w:val="Style_2"/>
    <w:link w:val="Style_23_ch"/>
    <w:pPr>
      <w:widowControl w:val="1"/>
      <w:ind/>
    </w:pPr>
    <w:rPr>
      <w:rFonts w:ascii="Arial" w:hAnsi="Arial"/>
    </w:rPr>
  </w:style>
  <w:style w:styleId="Style_23_ch" w:type="character">
    <w:name w:val="Содержимое таблицы"/>
    <w:basedOn w:val="Style_2_ch"/>
    <w:link w:val="Style_23"/>
    <w:rPr>
      <w:rFonts w:ascii="Arial" w:hAnsi="Arial"/>
    </w:rPr>
  </w:style>
  <w:style w:styleId="Style_36" w:type="paragraph">
    <w:name w:val="Font Style11"/>
    <w:link w:val="Style_36_ch"/>
  </w:style>
  <w:style w:styleId="Style_36_ch" w:type="character">
    <w:name w:val="Font Style11"/>
    <w:link w:val="Style_36"/>
  </w:style>
  <w:style w:styleId="Style_37" w:type="paragraph">
    <w:name w:val="toc 5"/>
    <w:next w:val="Style_2"/>
    <w:link w:val="Style_37_ch"/>
    <w:uiPriority w:val="39"/>
    <w:pPr>
      <w:ind w:firstLine="0" w:left="800"/>
    </w:pPr>
    <w:rPr>
      <w:rFonts w:ascii="XO Thames" w:hAnsi="XO Thames"/>
      <w:sz w:val="28"/>
    </w:rPr>
  </w:style>
  <w:style w:styleId="Style_37_ch" w:type="character">
    <w:name w:val="toc 5"/>
    <w:link w:val="Style_37"/>
    <w:rPr>
      <w:rFonts w:ascii="XO Thames" w:hAnsi="XO Thames"/>
      <w:sz w:val="28"/>
    </w:rPr>
  </w:style>
  <w:style w:styleId="Style_38" w:type="paragraph">
    <w:name w:val="Balloon Text"/>
    <w:basedOn w:val="Style_2"/>
    <w:link w:val="Style_38_ch"/>
    <w:rPr>
      <w:rFonts w:ascii="Segoe UI" w:hAnsi="Segoe UI"/>
      <w:sz w:val="18"/>
    </w:rPr>
  </w:style>
  <w:style w:styleId="Style_38_ch" w:type="character">
    <w:name w:val="Balloon Text"/>
    <w:basedOn w:val="Style_2_ch"/>
    <w:link w:val="Style_38"/>
    <w:rPr>
      <w:rFonts w:ascii="Segoe UI" w:hAnsi="Segoe UI"/>
      <w:sz w:val="18"/>
    </w:rPr>
  </w:style>
  <w:style w:styleId="Style_39" w:type="paragraph">
    <w:name w:val="Subtitle"/>
    <w:basedOn w:val="Style_40"/>
    <w:next w:val="Style_11"/>
    <w:link w:val="Style_39_ch"/>
    <w:uiPriority w:val="11"/>
    <w:qFormat/>
    <w:pPr>
      <w:ind/>
      <w:jc w:val="center"/>
    </w:pPr>
    <w:rPr>
      <w:i w:val="1"/>
    </w:rPr>
  </w:style>
  <w:style w:styleId="Style_39_ch" w:type="character">
    <w:name w:val="Subtitle"/>
    <w:basedOn w:val="Style_40_ch"/>
    <w:link w:val="Style_39"/>
    <w:rPr>
      <w:i w:val="1"/>
    </w:rPr>
  </w:style>
  <w:style w:styleId="Style_41" w:type="paragraph">
    <w:name w:val="Указатель1"/>
    <w:basedOn w:val="Style_2"/>
    <w:link w:val="Style_41_ch"/>
  </w:style>
  <w:style w:styleId="Style_41_ch" w:type="character">
    <w:name w:val="Указатель1"/>
    <w:basedOn w:val="Style_2_ch"/>
    <w:link w:val="Style_41"/>
  </w:style>
  <w:style w:styleId="Style_42" w:type="paragraph">
    <w:name w:val="Title"/>
    <w:basedOn w:val="Style_40"/>
    <w:next w:val="Style_39"/>
    <w:link w:val="Style_42_ch"/>
    <w:uiPriority w:val="10"/>
    <w:qFormat/>
  </w:style>
  <w:style w:styleId="Style_42_ch" w:type="character">
    <w:name w:val="Title"/>
    <w:basedOn w:val="Style_40_ch"/>
    <w:link w:val="Style_42"/>
  </w:style>
  <w:style w:styleId="Style_40" w:type="paragraph">
    <w:name w:val="Заголовок"/>
    <w:basedOn w:val="Style_2"/>
    <w:next w:val="Style_11"/>
    <w:link w:val="Style_40_ch"/>
    <w:pPr>
      <w:keepNext w:val="1"/>
      <w:spacing w:after="120" w:before="240"/>
      <w:ind/>
    </w:pPr>
    <w:rPr>
      <w:rFonts w:ascii="Arial" w:hAnsi="Arial"/>
      <w:sz w:val="28"/>
    </w:rPr>
  </w:style>
  <w:style w:styleId="Style_40_ch" w:type="character">
    <w:name w:val="Заголовок"/>
    <w:basedOn w:val="Style_2_ch"/>
    <w:link w:val="Style_40"/>
    <w:rPr>
      <w:rFonts w:ascii="Arial" w:hAnsi="Arial"/>
      <w:sz w:val="28"/>
    </w:rPr>
  </w:style>
  <w:style w:styleId="Style_43" w:type="paragraph">
    <w:name w:val="heading 4"/>
    <w:next w:val="Style_2"/>
    <w:link w:val="Style_4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3_ch" w:type="character">
    <w:name w:val="heading 4"/>
    <w:link w:val="Style_43"/>
    <w:rPr>
      <w:rFonts w:ascii="XO Thames" w:hAnsi="XO Thames"/>
      <w:b w:val="1"/>
      <w:sz w:val="24"/>
    </w:rPr>
  </w:style>
  <w:style w:styleId="Style_44" w:type="paragraph">
    <w:name w:val="annotation subject"/>
    <w:basedOn w:val="Style_30"/>
    <w:next w:val="Style_30"/>
    <w:link w:val="Style_44_ch"/>
    <w:rPr>
      <w:b w:val="1"/>
    </w:rPr>
  </w:style>
  <w:style w:styleId="Style_44_ch" w:type="character">
    <w:name w:val="annotation subject"/>
    <w:basedOn w:val="Style_30_ch"/>
    <w:link w:val="Style_44"/>
    <w:rPr>
      <w:b w:val="1"/>
    </w:rPr>
  </w:style>
  <w:style w:styleId="Style_45" w:type="paragraph">
    <w:name w:val="heading 2"/>
    <w:next w:val="Style_2"/>
    <w:link w:val="Style_4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5_ch" w:type="character">
    <w:name w:val="heading 2"/>
    <w:link w:val="Style_45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2024-01-19T12:14:57Z</dcterms:modified>
</cp:coreProperties>
</file>