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sz w:val="28"/>
        </w:rPr>
        <w:t>ПРОЕКТ</w:t>
      </w:r>
    </w:p>
    <w:p w14:paraId="03000000">
      <w:pPr>
        <w:pStyle w:val="Style_3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 – 184 402,6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32 207,8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pStyle w:val="Style_5"/>
              <w:ind w:firstLine="0" w:left="0"/>
              <w:jc w:val="left"/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181 200,0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32 207,8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22 120,8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D000000">
            <w:pPr>
              <w:ind/>
              <w:jc w:val="both"/>
              <w:rPr>
                <w:sz w:val="28"/>
              </w:rPr>
            </w:pP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B000000">
            <w:pPr>
              <w:ind/>
              <w:jc w:val="both"/>
              <w:rPr>
                <w:sz w:val="28"/>
              </w:rPr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– 48 040,2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C000000">
            <w:pPr>
              <w:pStyle w:val="Style_5"/>
              <w:ind w:firstLine="0" w:left="0"/>
              <w:jc w:val="left"/>
            </w:pPr>
            <w:r>
              <w:t>2019 – 3 122,7 тыс. рублей;</w:t>
            </w:r>
          </w:p>
          <w:p w14:paraId="6D000000">
            <w:pPr>
              <w:pStyle w:val="Style_5"/>
              <w:ind w:firstLine="0" w:left="0"/>
              <w:jc w:val="left"/>
            </w:pPr>
            <w:r>
              <w:t>2020 – 3 024,6тыс. рублей;</w:t>
            </w:r>
          </w:p>
          <w:p w14:paraId="6E000000">
            <w:pPr>
              <w:pStyle w:val="Style_5"/>
              <w:ind w:firstLine="0" w:left="0"/>
              <w:jc w:val="left"/>
            </w:pPr>
            <w:r>
              <w:t>2021 – 3 555,3 тыс. рублей.</w:t>
            </w:r>
          </w:p>
          <w:p w14:paraId="6F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70000000">
            <w:pPr>
              <w:pStyle w:val="Style_5"/>
              <w:ind w:firstLine="0" w:left="0"/>
              <w:jc w:val="left"/>
            </w:pPr>
            <w:r>
              <w:t>2023 – 5 146,8 тыс. рублей;</w:t>
            </w:r>
          </w:p>
          <w:p w14:paraId="71000000">
            <w:pPr>
              <w:pStyle w:val="Style_5"/>
              <w:ind w:firstLine="0" w:left="0"/>
              <w:jc w:val="left"/>
            </w:pPr>
            <w:r>
              <w:t>2024 – 5 247,2 тыс. рублей.</w:t>
            </w:r>
          </w:p>
          <w:p w14:paraId="72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6 200,0 тыс. рублей</w:t>
            </w:r>
            <w:r>
              <w:t>;</w:t>
            </w:r>
          </w:p>
          <w:p w14:paraId="73000000">
            <w:pPr>
              <w:pStyle w:val="Style_5"/>
              <w:ind w:firstLine="0" w:left="0"/>
              <w:jc w:val="left"/>
            </w:pPr>
            <w:r>
              <w:t>2026 – 7 600,0 тыс. рублей</w:t>
            </w:r>
            <w:r>
              <w:t>;</w:t>
            </w:r>
          </w:p>
          <w:p w14:paraId="74000000">
            <w:pPr>
              <w:pStyle w:val="Style_5"/>
              <w:ind w:firstLine="0" w:left="0"/>
              <w:jc w:val="left"/>
            </w:pPr>
            <w:r>
              <w:t>2027 – 2 355,6 тыс. рублей;</w:t>
            </w:r>
          </w:p>
          <w:p w14:paraId="75000000">
            <w:pPr>
              <w:pStyle w:val="Style_5"/>
              <w:ind w:firstLine="0" w:left="0"/>
              <w:jc w:val="left"/>
            </w:pPr>
            <w:r>
              <w:t>2028 – 2 355,6 тыс. рублей;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>2029 – 2 355,6 тыс. рублей;</w:t>
            </w:r>
          </w:p>
          <w:p w14:paraId="77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8000000">
            <w:pPr>
              <w:ind/>
              <w:jc w:val="both"/>
              <w:rPr>
                <w:sz w:val="28"/>
              </w:rPr>
            </w:pP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48 040,2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7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8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9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A000000">
            <w:pPr>
              <w:pStyle w:val="Style_5"/>
              <w:ind w:firstLine="0" w:left="0"/>
              <w:jc w:val="left"/>
            </w:pPr>
            <w:r>
              <w:t>2024 – 5 247,2</w:t>
            </w:r>
            <w:r>
              <w:t xml:space="preserve"> тыс. рублей.</w:t>
            </w:r>
          </w:p>
          <w:p w14:paraId="9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6 200,0</w:t>
            </w:r>
            <w:r>
              <w:t xml:space="preserve"> тыс. рублей</w:t>
            </w:r>
            <w:r>
              <w:t>;</w:t>
            </w:r>
          </w:p>
          <w:p w14:paraId="9C000000">
            <w:pPr>
              <w:pStyle w:val="Style_5"/>
              <w:ind w:firstLine="0" w:left="0"/>
              <w:jc w:val="left"/>
            </w:pPr>
            <w:r>
              <w:t>2026 – 7 600,0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9D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E000000">
            <w:pPr>
              <w:pStyle w:val="Style_5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F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A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1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11 708,2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4000000">
            <w:pPr>
              <w:pStyle w:val="Style_5"/>
              <w:ind w:firstLine="0" w:left="0"/>
              <w:jc w:val="left"/>
            </w:pPr>
            <w:r>
              <w:t>2019 – 299,5 тыс. рублей;</w:t>
            </w:r>
          </w:p>
          <w:p w14:paraId="A5000000">
            <w:pPr>
              <w:pStyle w:val="Style_5"/>
              <w:ind w:firstLine="0" w:left="0"/>
              <w:jc w:val="left"/>
            </w:pPr>
            <w:r>
              <w:t>2020 – 0,0 тыс. рублей;</w:t>
            </w:r>
          </w:p>
          <w:p w14:paraId="A6000000">
            <w:pPr>
              <w:pStyle w:val="Style_5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7000000">
            <w:pPr>
              <w:pStyle w:val="Style_5"/>
              <w:ind w:firstLine="0" w:left="0"/>
              <w:jc w:val="left"/>
            </w:pPr>
            <w:r>
              <w:t>2022 – 1 593,3 тыс. рублей;</w:t>
            </w:r>
          </w:p>
          <w:p w14:paraId="A8000000">
            <w:pPr>
              <w:pStyle w:val="Style_5"/>
              <w:ind w:firstLine="0" w:left="0"/>
              <w:jc w:val="left"/>
            </w:pPr>
            <w:r>
              <w:t>2023 – 1 789,5 тыс. рублей;</w:t>
            </w:r>
          </w:p>
          <w:p w14:paraId="A9000000">
            <w:pPr>
              <w:pStyle w:val="Style_5"/>
              <w:ind w:firstLine="0" w:left="0"/>
              <w:jc w:val="left"/>
            </w:pPr>
            <w:r>
              <w:t>2024 – 1 340,0 тыс. рублей.</w:t>
            </w:r>
          </w:p>
          <w:p w14:paraId="AA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AB000000">
            <w:pPr>
              <w:pStyle w:val="Style_5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AC000000">
            <w:pPr>
              <w:pStyle w:val="Style_5"/>
              <w:ind w:firstLine="0" w:left="0"/>
              <w:jc w:val="left"/>
            </w:pPr>
            <w:r>
              <w:t>2027 – 150,0 тыс. рублей;</w:t>
            </w:r>
          </w:p>
          <w:p w14:paraId="AD000000">
            <w:pPr>
              <w:pStyle w:val="Style_5"/>
              <w:ind w:firstLine="0" w:left="0"/>
              <w:jc w:val="left"/>
            </w:pPr>
            <w:r>
              <w:t>2028 – 150,0 тыс. рублей;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2029 – 150,0 тыс. рублей;</w:t>
            </w:r>
          </w:p>
          <w:p w14:paraId="AF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B0000000">
            <w:pPr>
              <w:pStyle w:val="Style_5"/>
              <w:spacing w:line="228" w:lineRule="auto"/>
              <w:ind w:firstLine="0" w:left="0"/>
              <w:jc w:val="left"/>
            </w:pP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E000000">
            <w:pPr>
              <w:ind/>
              <w:jc w:val="both"/>
              <w:rPr>
                <w:sz w:val="28"/>
              </w:rPr>
            </w:pP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B000000">
            <w:pPr>
              <w:ind/>
              <w:jc w:val="both"/>
              <w:rPr>
                <w:sz w:val="28"/>
              </w:rPr>
            </w:pPr>
          </w:p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 11 708,2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D000000">
            <w:pPr>
              <w:pStyle w:val="Style_5"/>
              <w:ind w:firstLine="0" w:left="0"/>
              <w:jc w:val="left"/>
            </w:pPr>
            <w:r>
              <w:t>2019 – 299,5 тыс. рублей;</w:t>
            </w:r>
          </w:p>
          <w:p w14:paraId="CE000000">
            <w:pPr>
              <w:pStyle w:val="Style_5"/>
              <w:ind w:firstLine="0" w:left="0"/>
              <w:jc w:val="left"/>
            </w:pPr>
            <w:r>
              <w:t>2020 – 0,0 тыс. рублей;</w:t>
            </w:r>
          </w:p>
          <w:p w14:paraId="CF000000">
            <w:pPr>
              <w:pStyle w:val="Style_5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D0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1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2000000">
            <w:pPr>
              <w:pStyle w:val="Style_5"/>
              <w:ind w:firstLine="0" w:left="0"/>
              <w:jc w:val="left"/>
            </w:pPr>
            <w:r>
              <w:t>2024 – 1 340,0</w:t>
            </w:r>
            <w:r>
              <w:t xml:space="preserve"> тыс. рублей.</w:t>
            </w:r>
          </w:p>
          <w:p w14:paraId="D3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 1 000,0 тыс. рублей</w:t>
            </w:r>
            <w:r>
              <w:t>;</w:t>
            </w:r>
          </w:p>
          <w:p w14:paraId="D4000000">
            <w:pPr>
              <w:pStyle w:val="Style_5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D5000000">
            <w:pPr>
              <w:pStyle w:val="Style_5"/>
              <w:ind w:firstLine="0" w:left="0"/>
              <w:jc w:val="left"/>
            </w:pPr>
            <w:r>
              <w:t>2027 – 150,0 тыс. рублей;</w:t>
            </w:r>
          </w:p>
          <w:p w14:paraId="D6000000">
            <w:pPr>
              <w:pStyle w:val="Style_5"/>
              <w:ind w:firstLine="0" w:left="0"/>
              <w:jc w:val="left"/>
            </w:pPr>
            <w:r>
              <w:t>2028 – 150,0 тыс. рублей;</w:t>
            </w:r>
          </w:p>
          <w:p w14:paraId="D7000000">
            <w:pPr>
              <w:pStyle w:val="Style_5"/>
              <w:ind w:firstLine="0" w:left="0"/>
              <w:jc w:val="left"/>
            </w:pPr>
            <w:r>
              <w:t>2029 – 150,0 тыс. рублей;</w:t>
            </w:r>
          </w:p>
          <w:p w14:paraId="D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124 654,2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14 252,4 </w:t>
            </w:r>
            <w:r>
              <w:rPr>
                <w:sz w:val="28"/>
              </w:rPr>
              <w:t>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14 920,8</w:t>
            </w:r>
            <w:r>
              <w:rPr>
                <w:sz w:val="28"/>
              </w:rPr>
              <w:t xml:space="preserve"> 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8000000">
            <w:pPr>
              <w:ind/>
              <w:jc w:val="both"/>
              <w:rPr>
                <w:sz w:val="28"/>
              </w:rPr>
            </w:pP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6000000">
            <w:pPr>
              <w:ind/>
              <w:jc w:val="both"/>
              <w:rPr>
                <w:sz w:val="28"/>
              </w:rPr>
            </w:pP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121 451,6 </w:t>
            </w:r>
            <w:r>
              <w:rPr>
                <w:sz w:val="28"/>
              </w:rPr>
              <w:t>тыс. рублей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–14 920,8</w:t>
            </w:r>
            <w:r>
              <w:rPr>
                <w:sz w:val="28"/>
              </w:rPr>
              <w:t xml:space="preserve"> 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1010000">
            <w:pPr>
              <w:ind/>
              <w:jc w:val="both"/>
              <w:rPr>
                <w:sz w:val="28"/>
              </w:rPr>
            </w:pP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F010000">
            <w:pPr>
              <w:ind/>
              <w:jc w:val="both"/>
              <w:rPr>
                <w:sz w:val="28"/>
              </w:rPr>
            </w:pPr>
          </w:p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D010000">
      <w:pPr>
        <w:ind w:firstLine="567" w:left="0"/>
        <w:jc w:val="both"/>
        <w:rPr>
          <w:sz w:val="28"/>
        </w:rPr>
      </w:pP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2F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30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1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tbl>
      <w:tblPr>
        <w:tblLayout w:type="fixed"/>
      </w:tblPr>
      <w:tblGrid>
        <w:gridCol w:w="1576"/>
        <w:gridCol w:w="1080"/>
        <w:gridCol w:w="660"/>
        <w:gridCol w:w="735"/>
        <w:gridCol w:w="870"/>
        <w:gridCol w:w="600"/>
        <w:gridCol w:w="1020"/>
        <w:gridCol w:w="750"/>
        <w:gridCol w:w="795"/>
        <w:gridCol w:w="810"/>
        <w:gridCol w:w="840"/>
        <w:gridCol w:w="660"/>
        <w:gridCol w:w="750"/>
        <w:gridCol w:w="675"/>
        <w:gridCol w:w="720"/>
        <w:gridCol w:w="585"/>
        <w:gridCol w:w="705"/>
        <w:gridCol w:w="690"/>
        <w:gridCol w:w="810"/>
      </w:tblGrid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</w:tcPr>
          <w:p w14:paraId="3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5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5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12675"/>
            <w:gridSpan w:val="17"/>
          </w:tcPr>
          <w:p w14:paraId="6A01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7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B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</w:tcPr>
          <w:p w14:paraId="7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8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8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  <w:vAlign w:val="center"/>
          </w:tcPr>
          <w:p w14:paraId="8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  <w:vAlign w:val="center"/>
          </w:tcPr>
          <w:p w14:paraId="8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  <w:vAlign w:val="center"/>
          </w:tcPr>
          <w:p w14:paraId="8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  <w:vAlign w:val="center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9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9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9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9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9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  <w:vAlign w:val="center"/>
          </w:tcPr>
          <w:p w14:paraId="9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  <w:vAlign w:val="center"/>
          </w:tcPr>
          <w:p w14:paraId="9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  <w:vAlign w:val="center"/>
          </w:tcPr>
          <w:p w14:paraId="A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  <w:vAlign w:val="center"/>
          </w:tcPr>
          <w:p w14:paraId="A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20"/>
          </w:tcPr>
          <w:p w14:paraId="A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A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A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A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A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A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A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A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A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A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/>
        </w:tc>
        <w:tc>
          <w:tcPr>
            <w:tcW w:type="dxa" w:w="1080"/>
          </w:tcPr>
          <w:p/>
        </w:tc>
        <w:tc>
          <w:tcPr>
            <w:tcW w:type="dxa" w:w="660"/>
            <w:vAlign w:val="center"/>
          </w:tcPr>
          <w:p w14:paraId="A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B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  <w:vAlign w:val="center"/>
          </w:tcPr>
          <w:p w14:paraId="B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0"/>
            <w:vAlign w:val="center"/>
          </w:tcPr>
          <w:p w14:paraId="B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20"/>
          </w:tcPr>
          <w:p/>
        </w:tc>
        <w:tc>
          <w:tcPr>
            <w:tcW w:type="dxa" w:w="750"/>
          </w:tcPr>
          <w:p/>
        </w:tc>
        <w:tc>
          <w:tcPr>
            <w:tcW w:type="dxa" w:w="795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660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720"/>
          </w:tcPr>
          <w:p/>
        </w:tc>
        <w:tc>
          <w:tcPr>
            <w:tcW w:type="dxa" w:w="585"/>
          </w:tcPr>
          <w:p/>
        </w:tc>
        <w:tc>
          <w:tcPr>
            <w:tcW w:type="dxa" w:w="705"/>
          </w:tcPr>
          <w:p/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</w:tr>
      <w:tr>
        <w:trPr>
          <w:trHeight w:hRule="atLeast" w:val="300"/>
        </w:trPr>
        <w:tc>
          <w:tcPr>
            <w:tcW w:type="dxa" w:w="15330"/>
            <w:gridSpan w:val="19"/>
          </w:tcPr>
          <w:p w14:paraId="B3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576"/>
          </w:tcPr>
          <w:p w14:paraId="B4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080"/>
          </w:tcPr>
          <w:p/>
        </w:tc>
        <w:tc>
          <w:tcPr>
            <w:tcW w:type="dxa" w:w="660"/>
            <w:vAlign w:val="center"/>
          </w:tcPr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  <w:vAlign w:val="center"/>
          </w:tcPr>
          <w:p w14:paraId="B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  <w:vAlign w:val="center"/>
          </w:tcPr>
          <w:p w14:paraId="B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0"/>
            <w:vAlign w:val="center"/>
          </w:tcPr>
          <w:p w14:paraId="B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20"/>
          </w:tcPr>
          <w:p/>
        </w:tc>
        <w:tc>
          <w:tcPr>
            <w:tcW w:type="dxa" w:w="750"/>
          </w:tcPr>
          <w:p/>
        </w:tc>
        <w:tc>
          <w:tcPr>
            <w:tcW w:type="dxa" w:w="795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660"/>
          </w:tcPr>
          <w:p/>
        </w:tc>
        <w:tc>
          <w:tcPr>
            <w:tcW w:type="dxa" w:w="750"/>
          </w:tcPr>
          <w:p/>
        </w:tc>
        <w:tc>
          <w:tcPr>
            <w:tcW w:type="dxa" w:w="675"/>
          </w:tcPr>
          <w:p/>
        </w:tc>
        <w:tc>
          <w:tcPr>
            <w:tcW w:type="dxa" w:w="720"/>
          </w:tcPr>
          <w:p/>
        </w:tc>
        <w:tc>
          <w:tcPr>
            <w:tcW w:type="dxa" w:w="585"/>
          </w:tcPr>
          <w:p/>
        </w:tc>
        <w:tc>
          <w:tcPr>
            <w:tcW w:type="dxa" w:w="705"/>
          </w:tcPr>
          <w:p/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</w:tr>
      <w:tr>
        <w:trPr>
          <w:trHeight w:hRule="atLeast" w:val="300"/>
        </w:trPr>
        <w:tc>
          <w:tcPr>
            <w:tcW w:type="dxa" w:w="15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6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79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5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3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184 402,6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32 207,8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5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40 954,3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5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7 085,9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3 000,0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11 708,2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2 749,5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7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8 758,7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124 654,2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65 605,4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14 187,4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5 730,5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18 628,1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15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33 521,7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5 726,9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5 977,4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6 217,0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15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21 142,6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5 697,5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3 209,1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3 353,9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15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F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001"/>
          <w:hidden w:val="0"/>
        </w:trPr>
        <w:tc>
          <w:tcPr>
            <w:tcW w:type="dxa" w:w="1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3.5</w:t>
            </w:r>
          </w:p>
          <w:p w14:paraId="12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тротуара  по адресу: Аксайский р-н, п</w:t>
            </w:r>
            <w:r>
              <w:rPr>
                <w:rFonts w:ascii="Times New Roman" w:hAnsi="Times New Roman"/>
                <w:sz w:val="20"/>
              </w:rPr>
              <w:t>.Октябрьский,</w:t>
            </w:r>
            <w:r>
              <w:rPr>
                <w:rFonts w:ascii="Times New Roman" w:hAnsi="Times New Roman"/>
                <w:sz w:val="20"/>
              </w:rPr>
              <w:t xml:space="preserve"> ул.Ленина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5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D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E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0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351"/>
        <w:gridCol w:w="1425"/>
        <w:gridCol w:w="2055"/>
        <w:gridCol w:w="825"/>
        <w:gridCol w:w="750"/>
        <w:gridCol w:w="705"/>
        <w:gridCol w:w="750"/>
        <w:gridCol w:w="780"/>
        <w:gridCol w:w="660"/>
        <w:gridCol w:w="765"/>
        <w:gridCol w:w="765"/>
        <w:gridCol w:w="735"/>
        <w:gridCol w:w="735"/>
        <w:gridCol w:w="765"/>
        <w:gridCol w:w="810"/>
        <w:gridCol w:w="1033"/>
      </w:tblGrid>
      <w:tr>
        <w:trPr>
          <w:trHeight w:hRule="atLeast" w:val="300"/>
        </w:trPr>
        <w:tc>
          <w:tcPr>
            <w:tcW w:type="dxa" w:w="1351"/>
          </w:tcPr>
          <w:p w14:paraId="3103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1425"/>
          </w:tcPr>
          <w:p w14:paraId="3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</w:tcPr>
          <w:p w14:paraId="3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3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3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3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0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351"/>
          </w:tcPr>
          <w:p w14:paraId="4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</w:tcPr>
          <w:p w14:paraId="4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</w:tcPr>
          <w:p w14:paraId="4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4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4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0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351"/>
          </w:tcPr>
          <w:p w14:paraId="5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</w:tcPr>
          <w:p w14:paraId="5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</w:tcPr>
          <w:p w14:paraId="5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0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624"/>
          <w:hidden w:val="0"/>
        </w:trPr>
        <w:tc>
          <w:tcPr>
            <w:tcW w:type="dxa" w:w="14909"/>
            <w:gridSpan w:val="16"/>
          </w:tcPr>
          <w:p w14:paraId="6103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51"/>
          </w:tcPr>
          <w:p w14:paraId="6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</w:tcPr>
          <w:p w14:paraId="6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</w:tcPr>
          <w:p w14:paraId="6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103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351"/>
          </w:tcPr>
          <w:p w14:paraId="7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</w:tcPr>
          <w:p w14:paraId="7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</w:tcPr>
          <w:p w14:paraId="7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7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7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351"/>
            <w:vAlign w:val="center"/>
          </w:tcPr>
          <w:p w14:paraId="8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  <w:vAlign w:val="center"/>
          </w:tcPr>
          <w:p w14:paraId="8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  <w:vAlign w:val="center"/>
          </w:tcPr>
          <w:p w14:paraId="8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8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8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351"/>
            <w:vAlign w:val="center"/>
          </w:tcPr>
          <w:p w14:paraId="9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25"/>
            <w:vAlign w:val="center"/>
          </w:tcPr>
          <w:p w14:paraId="9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055"/>
            <w:vAlign w:val="center"/>
          </w:tcPr>
          <w:p w14:paraId="9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9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9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A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A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351"/>
          </w:tcPr>
          <w:p/>
        </w:tc>
        <w:tc>
          <w:tcPr>
            <w:tcW w:type="dxa" w:w="1425"/>
          </w:tcPr>
          <w:p/>
        </w:tc>
        <w:tc>
          <w:tcPr>
            <w:tcW w:type="dxa" w:w="205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4909"/>
            <w:gridSpan w:val="16"/>
          </w:tcPr>
          <w:p w14:paraId="A2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351"/>
          </w:tcPr>
          <w:p/>
        </w:tc>
        <w:tc>
          <w:tcPr>
            <w:tcW w:type="dxa" w:w="1425"/>
          </w:tcPr>
          <w:p/>
        </w:tc>
        <w:tc>
          <w:tcPr>
            <w:tcW w:type="dxa" w:w="205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3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04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10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3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B6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32 207,8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184 402,6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32 207,8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22 120,8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181 200,0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13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5 247,2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48 040,2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11 708,2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11 708,2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20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124 654,2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14 920,8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121 451,6</w:t>
            </w:r>
          </w:p>
        </w:tc>
      </w:tr>
      <w:tr>
        <w:trPr>
          <w:trHeight w:hRule="atLeast" w:val="300"/>
        </w:trPr>
        <w:tc>
          <w:tcPr>
            <w:tcW w:type="dxa" w:w="13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0D05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Font Style11"/>
    <w:link w:val="Style_6_ch"/>
  </w:style>
  <w:style w:styleId="Style_6_ch" w:type="character">
    <w:name w:val="Font Style11"/>
    <w:link w:val="Style_6"/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Указатель1"/>
    <w:basedOn w:val="Style_3"/>
    <w:link w:val="Style_9_ch"/>
  </w:style>
  <w:style w:styleId="Style_9_ch" w:type="character">
    <w:name w:val="Указатель1"/>
    <w:basedOn w:val="Style_3_ch"/>
    <w:link w:val="Style_9"/>
  </w:style>
  <w:style w:styleId="Style_10" w:type="paragraph">
    <w:name w:val="toc 2"/>
    <w:next w:val="Style_3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Символ нумерации"/>
    <w:link w:val="Style_19_ch"/>
    <w:rPr>
      <w:b w:val="0"/>
    </w:rPr>
  </w:style>
  <w:style w:styleId="Style_19_ch" w:type="character">
    <w:name w:val="Символ нумерации"/>
    <w:link w:val="Style_19"/>
    <w:rPr>
      <w:b w:val="0"/>
    </w:rPr>
  </w:style>
  <w:style w:styleId="Style_20" w:type="paragraph">
    <w:name w:val="ConsPlusNormal"/>
    <w:link w:val="Style_20_ch"/>
    <w:pPr>
      <w:widowControl w:val="0"/>
      <w:ind/>
    </w:pPr>
    <w:rPr>
      <w:sz w:val="24"/>
    </w:rPr>
  </w:style>
  <w:style w:styleId="Style_20_ch" w:type="character">
    <w:name w:val="ConsPlusNormal"/>
    <w:link w:val="Style_20"/>
    <w:rPr>
      <w:sz w:val="24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Заголовок"/>
    <w:basedOn w:val="Style_3"/>
    <w:next w:val="Style_18"/>
    <w:link w:val="Style_23_ch"/>
    <w:pPr>
      <w:keepNext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"/>
    <w:basedOn w:val="Style_3_ch"/>
    <w:link w:val="Style_23"/>
    <w:rPr>
      <w:rFonts w:ascii="Arial" w:hAnsi="Arial"/>
      <w:sz w:val="28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3_ch"/>
    <w:link w:val="Style_25"/>
    <w:rPr>
      <w:rFonts w:ascii="Arial" w:hAnsi="Arial"/>
      <w:b w:val="1"/>
      <w:sz w:val="32"/>
    </w:rPr>
  </w:style>
  <w:style w:styleId="Style_26" w:type="paragraph">
    <w:name w:val="Balloon Text"/>
    <w:basedOn w:val="Style_3"/>
    <w:link w:val="Style_26_ch"/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annotation subject"/>
    <w:basedOn w:val="Style_32"/>
    <w:next w:val="Style_32"/>
    <w:link w:val="Style_31_ch"/>
    <w:rPr>
      <w:b w:val="1"/>
    </w:rPr>
  </w:style>
  <w:style w:styleId="Style_31_ch" w:type="character">
    <w:name w:val="annotation subject"/>
    <w:basedOn w:val="Style_32_ch"/>
    <w:link w:val="Style_31"/>
    <w:rPr>
      <w:b w:val="1"/>
    </w:rPr>
  </w:style>
  <w:style w:styleId="Style_33" w:type="paragraph">
    <w:name w:val="ConsPlusCel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Cell"/>
    <w:link w:val="Style_33"/>
    <w:rPr>
      <w:rFonts w:ascii="Arial" w:hAnsi="Arial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</w:rPr>
  </w:style>
  <w:style w:styleId="Style_36_ch" w:type="character">
    <w:name w:val="ConsPlusTitle"/>
    <w:link w:val="Style_36"/>
    <w:rPr>
      <w:rFonts w:ascii="Arial" w:hAnsi="Arial"/>
      <w:b w:val="1"/>
    </w:rPr>
  </w:style>
  <w:style w:styleId="Style_18" w:type="paragraph">
    <w:name w:val="Body Text"/>
    <w:basedOn w:val="Style_3"/>
    <w:link w:val="Style_18_ch"/>
    <w:pPr>
      <w:spacing w:after="120" w:before="0"/>
      <w:ind/>
    </w:pPr>
  </w:style>
  <w:style w:styleId="Style_18_ch" w:type="character">
    <w:name w:val="Body Text"/>
    <w:basedOn w:val="Style_3_ch"/>
    <w:link w:val="Style_18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Название1"/>
    <w:basedOn w:val="Style_3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Название1"/>
    <w:basedOn w:val="Style_3_ch"/>
    <w:link w:val="Style_39"/>
    <w:rPr>
      <w:i w:val="1"/>
      <w:sz w:val="24"/>
    </w:rPr>
  </w:style>
  <w:style w:styleId="Style_40" w:type="paragraph">
    <w:name w:val="Body Text Indent"/>
    <w:basedOn w:val="Style_3"/>
    <w:link w:val="Style_40_ch"/>
    <w:pPr>
      <w:spacing w:after="120" w:before="0" w:line="100" w:lineRule="atLeast"/>
      <w:ind w:firstLine="0" w:left="283" w:right="0"/>
    </w:pPr>
    <w:rPr>
      <w:sz w:val="24"/>
    </w:rPr>
  </w:style>
  <w:style w:styleId="Style_40_ch" w:type="character">
    <w:name w:val="Body Text Indent"/>
    <w:basedOn w:val="Style_3_ch"/>
    <w:link w:val="Style_40"/>
    <w:rPr>
      <w:sz w:val="24"/>
    </w:rPr>
  </w:style>
  <w:style w:styleId="Style_41" w:type="paragraph">
    <w:name w:val="Subtitle"/>
    <w:basedOn w:val="Style_23"/>
    <w:next w:val="Style_18"/>
    <w:link w:val="Style_41_ch"/>
    <w:uiPriority w:val="11"/>
    <w:qFormat/>
    <w:pPr>
      <w:ind/>
      <w:jc w:val="center"/>
    </w:pPr>
    <w:rPr>
      <w:i w:val="1"/>
      <w:sz w:val="28"/>
    </w:rPr>
  </w:style>
  <w:style w:styleId="Style_41_ch" w:type="character">
    <w:name w:val="Subtitle"/>
    <w:basedOn w:val="Style_23_ch"/>
    <w:link w:val="Style_41"/>
    <w:rPr>
      <w:i w:val="1"/>
      <w:sz w:val="28"/>
    </w:rPr>
  </w:style>
  <w:style w:styleId="Style_42" w:type="paragraph">
    <w:name w:val="Маркеры списка"/>
    <w:link w:val="Style_42_ch"/>
    <w:rPr>
      <w:rFonts w:ascii="OpenSymbol" w:hAnsi="OpenSymbol"/>
    </w:rPr>
  </w:style>
  <w:style w:styleId="Style_42_ch" w:type="character">
    <w:name w:val="Маркеры списка"/>
    <w:link w:val="Style_42"/>
    <w:rPr>
      <w:rFonts w:ascii="OpenSymbol" w:hAnsi="OpenSymbol"/>
    </w:rPr>
  </w:style>
  <w:style w:styleId="Style_43" w:type="paragraph">
    <w:name w:val="Title"/>
    <w:basedOn w:val="Style_23"/>
    <w:next w:val="Style_41"/>
    <w:link w:val="Style_43_ch"/>
    <w:uiPriority w:val="10"/>
    <w:qFormat/>
  </w:style>
  <w:style w:styleId="Style_43_ch" w:type="character">
    <w:name w:val="Title"/>
    <w:basedOn w:val="Style_23_ch"/>
    <w:link w:val="Style_43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8" w:type="paragraph">
    <w:name w:val="Содержимое таблицы"/>
    <w:basedOn w:val="Style_3"/>
    <w:link w:val="Style_8_ch"/>
    <w:pPr>
      <w:widowControl w:val="1"/>
      <w:ind/>
    </w:pPr>
    <w:rPr>
      <w:rFonts w:ascii="Arial" w:hAnsi="Arial"/>
    </w:rPr>
  </w:style>
  <w:style w:styleId="Style_8_ch" w:type="character">
    <w:name w:val="Содержимое таблицы"/>
    <w:basedOn w:val="Style_3_ch"/>
    <w:link w:val="Style_8"/>
    <w:rPr>
      <w:rFonts w:ascii="Arial" w:hAnsi="Arial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32" w:type="paragraph">
    <w:name w:val="annotation text"/>
    <w:basedOn w:val="Style_3"/>
    <w:link w:val="Style_32_ch"/>
    <w:rPr>
      <w:sz w:val="20"/>
    </w:rPr>
  </w:style>
  <w:style w:styleId="Style_32_ch" w:type="character">
    <w:name w:val="annotation text"/>
    <w:basedOn w:val="Style_3_ch"/>
    <w:link w:val="Style_32"/>
    <w:rPr>
      <w:sz w:val="20"/>
    </w:rPr>
  </w:style>
  <w:style w:styleId="Style_45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2024-12-02T05:31:52Z</dcterms:modified>
</cp:coreProperties>
</file>