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«___»__________20__г.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7000000">
      <w:pPr>
        <w:widowControl w:val="0"/>
        <w:ind/>
        <w:jc w:val="right"/>
        <w:rPr>
          <w:sz w:val="28"/>
        </w:rPr>
      </w:pPr>
      <w:r>
        <w:rPr>
          <w:sz w:val="28"/>
        </w:rPr>
        <w:t>№___от «__» __________2025г</w:t>
      </w:r>
    </w:p>
    <w:p w14:paraId="38000000">
      <w:pPr>
        <w:widowControl w:val="0"/>
        <w:ind/>
        <w:jc w:val="center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3B000000">
      <w:pPr>
        <w:widowControl w:val="0"/>
        <w:ind/>
        <w:jc w:val="center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3E000000">
      <w:pPr>
        <w:widowControl w:val="0"/>
        <w:ind/>
        <w:jc w:val="both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40000000">
      <w:pPr>
        <w:widowControl w:val="0"/>
        <w:ind w:firstLine="851" w:left="0"/>
        <w:jc w:val="both"/>
        <w:rPr>
          <w:sz w:val="28"/>
        </w:rPr>
      </w:pP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Ростовская область – крупнейший на юге России центр науки, образования, культуры и искусства, обладающий значительным историко-культурным наследием и богатым творческим потенциалом населения.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настоящее время в Ростовской области осуществляют свою деятельность 2449 учреждений в сфере культуры.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Щепкинском сельском поселении функционирует муниципальное бюджетное учреждение культуры Щепкинского сельского поселения «Октябрьский сельский дом культуры», которое состоит из пяти структурных подразделений: сельский дом культуры п. Красный, сельский дом культуры п.  Щепкин, сельский дом культуры п. Элитный, сельский дом культуры п. </w:t>
      </w:r>
      <w:r>
        <w:rPr>
          <w:sz w:val="28"/>
        </w:rPr>
        <w:t>Темрницкий</w:t>
      </w:r>
      <w:r>
        <w:rPr>
          <w:sz w:val="28"/>
        </w:rPr>
        <w:t>, сельский дом культуры п. Октябрьский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организации досуга населения особая роль отведена учреждениям </w:t>
      </w:r>
      <w:r>
        <w:rPr>
          <w:sz w:val="28"/>
        </w:rPr>
        <w:t>культурно-досугового</w:t>
      </w:r>
      <w:r>
        <w:rPr>
          <w:sz w:val="28"/>
        </w:rPr>
        <w:t xml:space="preserve"> типа.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Общее число участников клубных формирований в 2024 г. составило 443 чел., что больше показателя 2023 г. На 2%. Число участников клубных формирований для детей составило 284 человека (64 % от общего числа). Число участников клубных формирований для молодежи составило 86 человек (20 % от общего числа).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Из общего количества формирований самодеятельного народного творчества </w:t>
      </w:r>
      <w:r>
        <w:rPr>
          <w:sz w:val="28"/>
        </w:rPr>
        <w:t>на</w:t>
      </w:r>
      <w:r>
        <w:rPr>
          <w:sz w:val="28"/>
        </w:rPr>
        <w:t xml:space="preserve"> действуют 2 </w:t>
      </w:r>
      <w:r>
        <w:rPr>
          <w:sz w:val="28"/>
        </w:rPr>
        <w:t>коллектива</w:t>
      </w:r>
      <w:r>
        <w:rPr>
          <w:sz w:val="28"/>
        </w:rPr>
        <w:t xml:space="preserve">, имеющий звание «народный» и 1 коллектив со званием «образцовый» с охватом участников 64 чел.: «народный» -  2/30; «образцовый» - 1/34.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Народный хоровой коллектив «Зорюшка», СДК п. Красный, (категория 30-54 лет) руководитель Ильинский Игорь Валентинович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Народный ансамбль «Надежда», СДК п. Щепкин, (категория 35-60 лет), руководитель Галкин Сергей Сергеевич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Образцовый ансамбль танца «Радуга», СДК п. Октябрьский (категория 5-14 лет) руководитель Лазарева Олеся Сергеевна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МБУК ЩСП «Октябрьский СДК» работают 53 клубных формирований на бесплатной основе, количество участников – 1156 человека. Работниками учреждений культуры проводится множество культурно-массовых мероприятий, приуроченных к </w:t>
      </w:r>
      <w:r>
        <w:rPr>
          <w:sz w:val="28"/>
        </w:rPr>
        <w:t>различным календарным, обрядовым праздникам, юбилейным датам с участием творческих коллективов и отдельных исполнителей.</w:t>
      </w:r>
    </w:p>
    <w:p w14:paraId="4C000000">
      <w:pPr>
        <w:widowControl w:val="0"/>
        <w:ind w:firstLine="851" w:left="0"/>
        <w:jc w:val="both"/>
        <w:rPr>
          <w:sz w:val="28"/>
        </w:rPr>
      </w:pPr>
    </w:p>
    <w:p w14:paraId="4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4E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4F000000">
      <w:pPr>
        <w:widowControl w:val="0"/>
        <w:ind/>
        <w:jc w:val="both"/>
        <w:rPr>
          <w:sz w:val="28"/>
        </w:rPr>
      </w:pP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Приоритеты и цели муниципальной политики в сфере культуры определены в соответствии нормативными правовыми актами Российской Федерации, Ростовской области и Аксайского района, в том числе: 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Законом Российской Федерации от 09.10.1992 № 3612-1 «Основы законодательства Российской Федерации о культуре»;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29.12.1994 № 78-ФЗ «О библиотечном деле»;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22.10.2004 № 177-ЗС «О культуре»; 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03.11.2017 № 1217-ЗС «О развитии библиотечного дела в Ростовской области»; 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в качестве национальных целей развития Российской Федерации на период до 2030 года и на перспективу до 2036 года, в том числе в сфере культуры, определены следующие цели: 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потенциала каждого человека, развитие его талантов, воспитание патриотичной и социально ответственной личности; </w:t>
      </w: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сохранение населения, укрепление здоровья и повышение благополучия людей, поддержка семьи;</w:t>
      </w: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комфортная и безопасная среда для жизни.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целях достижения до 2030 года национальных целей основными приоритетами являются: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и развитие культурно-исторического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укрепление единого культурного пространства на основе духовно</w:t>
      </w:r>
      <w:r>
        <w:rPr>
          <w:sz w:val="28"/>
        </w:rPr>
        <w:t>-</w:t>
      </w:r>
      <w:r>
        <w:rPr>
          <w:sz w:val="28"/>
        </w:rPr>
        <w:t xml:space="preserve">нравственных ценностей и исторических традиций населения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поселения, как многонациональной </w:t>
      </w:r>
      <w:r>
        <w:rPr>
          <w:sz w:val="28"/>
        </w:rPr>
        <w:t>цивилизационной</w:t>
      </w:r>
      <w:r>
        <w:rPr>
          <w:sz w:val="28"/>
        </w:rPr>
        <w:t xml:space="preserve"> общности; </w:t>
      </w:r>
    </w:p>
    <w:p w14:paraId="5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культурного и духовного наследия Донского края, самобытных традиций; </w:t>
      </w:r>
    </w:p>
    <w:p w14:paraId="6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обеспечение максимальной доступности для широких слоев населения учреждений культуры, создание условий для организации досуга и обеспечения жителей поселения услугами организаций культуры; </w:t>
      </w:r>
    </w:p>
    <w:p w14:paraId="6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 создание условий для творческой самореализации граждан, культурно</w:t>
      </w:r>
      <w:r>
        <w:rPr>
          <w:sz w:val="28"/>
        </w:rPr>
        <w:t xml:space="preserve"> </w:t>
      </w:r>
      <w:r>
        <w:rPr>
          <w:sz w:val="28"/>
        </w:rPr>
        <w:t xml:space="preserve">просветительской деятельности, организации внешкольного художественного образования и культурного </w:t>
      </w:r>
      <w:r>
        <w:rPr>
          <w:sz w:val="28"/>
        </w:rPr>
        <w:t xml:space="preserve">досуга; </w:t>
      </w:r>
    </w:p>
    <w:p w14:paraId="6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создание условий для развития </w:t>
      </w:r>
      <w:r>
        <w:rPr>
          <w:sz w:val="28"/>
        </w:rPr>
        <w:t>культурно-досуговой</w:t>
      </w:r>
      <w:r>
        <w:rPr>
          <w:sz w:val="28"/>
        </w:rPr>
        <w:t xml:space="preserve"> деятельности учреждений культуры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</w:t>
      </w:r>
    </w:p>
    <w:p w14:paraId="63000000">
      <w:pPr>
        <w:widowControl w:val="0"/>
        <w:ind w:firstLine="851" w:left="0"/>
        <w:jc w:val="both"/>
        <w:rPr>
          <w:sz w:val="28"/>
        </w:rPr>
      </w:pPr>
    </w:p>
    <w:p w14:paraId="64000000">
      <w:pPr>
        <w:widowControl w:val="0"/>
        <w:ind/>
        <w:jc w:val="both"/>
        <w:rPr>
          <w:sz w:val="28"/>
        </w:rPr>
      </w:pPr>
    </w:p>
    <w:p w14:paraId="65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66000000">
      <w:pPr>
        <w:widowControl w:val="0"/>
        <w:ind w:firstLine="851" w:left="0"/>
        <w:jc w:val="both"/>
        <w:rPr>
          <w:sz w:val="28"/>
        </w:rPr>
      </w:pPr>
    </w:p>
    <w:p w14:paraId="6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сферы культуры также определены: </w:t>
      </w:r>
    </w:p>
    <w:p w14:paraId="6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</w:t>
      </w:r>
      <w:r>
        <w:rPr>
          <w:sz w:val="28"/>
        </w:rPr>
        <w:t>утвержденной</w:t>
      </w:r>
      <w:r>
        <w:rPr>
          <w:sz w:val="28"/>
        </w:rPr>
        <w:t xml:space="preserve"> постановлением Правительства Ростовск</w:t>
      </w:r>
      <w:r>
        <w:rPr>
          <w:sz w:val="28"/>
        </w:rPr>
        <w:t>ой области от 26.12.2018 № 864;</w:t>
      </w:r>
    </w:p>
    <w:p w14:paraId="6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</w:r>
      <w:r>
        <w:rPr>
          <w:sz w:val="28"/>
        </w:rPr>
        <w:t>.</w:t>
      </w:r>
    </w:p>
    <w:p w14:paraId="6A000000">
      <w:pPr>
        <w:widowControl w:val="0"/>
        <w:ind w:firstLine="851" w:left="0"/>
        <w:jc w:val="both"/>
        <w:rPr>
          <w:sz w:val="28"/>
        </w:rPr>
      </w:pPr>
    </w:p>
    <w:p w14:paraId="6B000000">
      <w:pPr>
        <w:widowControl w:val="0"/>
        <w:ind w:firstLine="851" w:left="0"/>
        <w:jc w:val="both"/>
        <w:rPr>
          <w:sz w:val="28"/>
        </w:rPr>
      </w:pPr>
    </w:p>
    <w:p w14:paraId="6C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6D000000">
      <w:pPr>
        <w:widowControl w:val="0"/>
        <w:ind w:firstLine="851" w:left="0"/>
        <w:jc w:val="both"/>
        <w:rPr>
          <w:sz w:val="28"/>
        </w:rPr>
      </w:pPr>
    </w:p>
    <w:p w14:paraId="6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</w:t>
      </w:r>
      <w:r>
        <w:rPr>
          <w:sz w:val="28"/>
        </w:rPr>
        <w:t xml:space="preserve">: </w:t>
      </w:r>
    </w:p>
    <w:p w14:paraId="6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объектов исторического и культурного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7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создание условий для развития мун</w:t>
      </w:r>
      <w:r>
        <w:rPr>
          <w:sz w:val="28"/>
        </w:rPr>
        <w:t>иципальных учреждений культуры.</w:t>
      </w:r>
    </w:p>
    <w:p w14:paraId="71000000">
      <w:pPr>
        <w:widowControl w:val="0"/>
        <w:ind w:firstLine="851" w:left="0"/>
        <w:jc w:val="both"/>
        <w:rPr>
          <w:sz w:val="28"/>
        </w:rPr>
      </w:pPr>
    </w:p>
    <w:p w14:paraId="72000000">
      <w:pPr>
        <w:widowControl w:val="0"/>
        <w:ind w:firstLine="851" w:left="0"/>
        <w:jc w:val="both"/>
        <w:rPr>
          <w:sz w:val="28"/>
        </w:rPr>
      </w:pPr>
    </w:p>
    <w:p w14:paraId="73000000">
      <w:pPr>
        <w:widowControl w:val="0"/>
        <w:ind/>
        <w:rPr>
          <w:sz w:val="28"/>
        </w:rPr>
      </w:pPr>
    </w:p>
    <w:p w14:paraId="74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75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76000000">
      <w:pPr>
        <w:widowControl w:val="0"/>
        <w:ind/>
        <w:jc w:val="center"/>
        <w:rPr>
          <w:sz w:val="28"/>
        </w:rPr>
      </w:pPr>
    </w:p>
    <w:p w14:paraId="77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8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75"/>
        <w:gridCol w:w="9092"/>
      </w:tblGrid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7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сохранение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6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создание условий для развития муниципальных учреждений культуры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</w:p>
          <w:p w14:paraId="85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Развитие домов культуры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00000">
            <w:pPr>
              <w:widowControl w:val="0"/>
              <w:ind/>
              <w:jc w:val="both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239 249,4</w:t>
            </w:r>
            <w:r>
              <w:rPr>
                <w:sz w:val="24"/>
              </w:rPr>
              <w:t xml:space="preserve"> тыс. рублей:</w:t>
            </w:r>
          </w:p>
          <w:p w14:paraId="88000000">
            <w:pPr>
              <w:widowControl w:val="0"/>
              <w:ind/>
              <w:jc w:val="both"/>
              <w:rPr>
                <w:sz w:val="24"/>
                <w:shd w:fill="FFD821" w:val="clear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тап I: 140 373,7 тыс. рублей;</w:t>
            </w:r>
          </w:p>
          <w:p w14:paraId="89000000">
            <w:pPr>
              <w:rPr>
                <w:sz w:val="24"/>
                <w:shd w:fill="FFD821" w:val="clear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  <w:shd w:fill="FFD821" w:val="clear"/>
              </w:rPr>
              <w:t xml:space="preserve"> II: 98 875,7 </w:t>
            </w:r>
            <w:r>
              <w:rPr>
                <w:sz w:val="24"/>
              </w:rPr>
              <w:t>тыс. рублей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      </w:r>
          </w:p>
        </w:tc>
      </w:tr>
    </w:tbl>
    <w:p w14:paraId="8C000000">
      <w:pPr>
        <w:widowControl w:val="0"/>
        <w:ind/>
        <w:rPr>
          <w:sz w:val="28"/>
        </w:rPr>
      </w:pPr>
    </w:p>
    <w:p w14:paraId="8D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8E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90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3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96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A3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 </w:t>
            </w:r>
            <w:r>
              <w:t xml:space="preserve">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развития муниципальных учреждений культуры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53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а также увеличение числа посещений мероприятий культуры </w:t>
            </w:r>
          </w:p>
          <w:p w14:paraId="D2000000">
            <w:pPr>
              <w:widowControl w:val="0"/>
              <w:ind/>
              <w:jc w:val="center"/>
            </w:pPr>
            <w:r>
              <w:t xml:space="preserve">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</w:pPr>
            <w:r>
              <w:t>2.2.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r>
              <w:t>825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r>
              <w:t>825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r>
              <w:t>825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</w:pPr>
            <w:r>
              <w:t>-</w:t>
            </w:r>
          </w:p>
        </w:tc>
      </w:tr>
    </w:tbl>
    <w:p w14:paraId="E3000000">
      <w:pPr>
        <w:widowControl w:val="0"/>
        <w:ind/>
        <w:jc w:val="center"/>
        <w:rPr>
          <w:sz w:val="28"/>
        </w:rPr>
      </w:pPr>
    </w:p>
    <w:p w14:paraId="E4000000">
      <w:pPr>
        <w:widowControl w:val="0"/>
        <w:ind/>
        <w:jc w:val="center"/>
        <w:rPr>
          <w:sz w:val="28"/>
        </w:rPr>
      </w:pPr>
    </w:p>
    <w:p w14:paraId="E5000000">
      <w:pPr>
        <w:widowControl w:val="0"/>
        <w:ind/>
        <w:jc w:val="center"/>
        <w:rPr>
          <w:sz w:val="28"/>
        </w:rPr>
      </w:pPr>
    </w:p>
    <w:p w14:paraId="E6000000">
      <w:pPr>
        <w:widowControl w:val="0"/>
        <w:ind/>
        <w:jc w:val="center"/>
        <w:rPr>
          <w:sz w:val="28"/>
        </w:rPr>
      </w:pPr>
    </w:p>
    <w:p w14:paraId="E7000000">
      <w:pPr>
        <w:widowControl w:val="0"/>
        <w:ind/>
        <w:jc w:val="center"/>
        <w:rPr>
          <w:sz w:val="28"/>
        </w:rPr>
      </w:pPr>
    </w:p>
    <w:p w14:paraId="E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E9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«Содержание и ремонт  мемориалов Щепкинского сельского поселения»</w:t>
            </w:r>
          </w:p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F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Сохранность мемориалов на территории Щепкинского сельского поселения</w:t>
            </w:r>
          </w:p>
          <w:p w14:paraId="F900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сохранность имеющихся на территории Щепкинского сельского поселения мемориалов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содержание и ремонт мемориалов Щепкинского сельского поселения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«Развитие домов культуры»</w:t>
            </w:r>
          </w:p>
          <w:p w14:paraId="F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F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  <w:p w14:paraId="02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жителей района качеством предоставления муниципальных услуг муниципальными учреждениями культуры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клубных формирований в учреждениях культуры;</w:t>
            </w: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проводимых культурн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массовых (иных, зрелищных) мероприятий</w:t>
            </w:r>
          </w:p>
        </w:tc>
      </w:tr>
    </w:tbl>
    <w:p w14:paraId="06010000">
      <w:pPr>
        <w:widowControl w:val="0"/>
        <w:ind/>
        <w:jc w:val="center"/>
        <w:outlineLvl w:val="2"/>
        <w:rPr>
          <w:sz w:val="28"/>
        </w:rPr>
      </w:pPr>
    </w:p>
    <w:p w14:paraId="07010000">
      <w:pPr>
        <w:widowControl w:val="0"/>
        <w:ind/>
        <w:jc w:val="center"/>
        <w:rPr>
          <w:sz w:val="28"/>
        </w:rPr>
      </w:pPr>
    </w:p>
    <w:p w14:paraId="0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0901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0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культуры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1C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8"/>
                <w:shd w:fill="FFD821" w:val="clear"/>
              </w:rPr>
            </w:pPr>
            <w:r>
              <w:rPr>
                <w:sz w:val="28"/>
                <w:shd w:fill="FFD821" w:val="clear"/>
              </w:rPr>
              <w:t>31 147,7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8"/>
                <w:shd w:fill="FFD821" w:val="clear"/>
              </w:rPr>
            </w:pPr>
            <w:r>
              <w:rPr>
                <w:sz w:val="28"/>
                <w:shd w:fill="FFD821" w:val="clear"/>
              </w:rPr>
              <w:t>98 875,7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29 966,9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  <w:shd w:fill="FFE779" w:val="clear"/>
              </w:rPr>
            </w:pPr>
            <w:r>
              <w:rPr>
                <w:sz w:val="24"/>
                <w:shd w:fill="FFE779" w:val="clear"/>
              </w:rPr>
              <w:t>97694,9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Содержание и ремонт мемориалов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1 000,0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7 500,0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домов культуры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8"/>
                <w:shd w:fill="FFD821" w:val="clear"/>
              </w:rPr>
            </w:pPr>
            <w:r>
              <w:rPr>
                <w:sz w:val="28"/>
                <w:shd w:fill="FFD821" w:val="clear"/>
              </w:rPr>
              <w:t>30 147,7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8"/>
                <w:shd w:fill="FFE779" w:val="clear"/>
              </w:rPr>
            </w:pPr>
            <w:r>
              <w:rPr>
                <w:sz w:val="28"/>
                <w:shd w:fill="FFE779" w:val="clear"/>
              </w:rPr>
              <w:t>91 375,7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29 966,9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  <w:shd w:fill="FFE779" w:val="clear"/>
              </w:rPr>
            </w:pPr>
            <w:r>
              <w:rPr>
                <w:sz w:val="24"/>
                <w:shd w:fill="FFE779" w:val="clear"/>
              </w:rPr>
              <w:t>91 194,9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0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81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Содержание и ремонт мемориалов Щепкинского сельского поселения</w:t>
      </w:r>
      <w:r>
        <w:rPr>
          <w:sz w:val="28"/>
        </w:rPr>
        <w:t>»</w:t>
      </w:r>
    </w:p>
    <w:p w14:paraId="82010000">
      <w:pPr>
        <w:widowControl w:val="0"/>
        <w:ind/>
        <w:jc w:val="center"/>
        <w:rPr>
          <w:sz w:val="28"/>
        </w:rPr>
      </w:pPr>
    </w:p>
    <w:p w14:paraId="83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4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89010000">
      <w:pPr>
        <w:widowControl w:val="0"/>
        <w:ind w:hanging="357" w:left="357"/>
        <w:jc w:val="center"/>
        <w:rPr>
          <w:sz w:val="28"/>
        </w:rPr>
      </w:pPr>
    </w:p>
    <w:p w14:paraId="8A010000">
      <w:pPr>
        <w:widowControl w:val="0"/>
        <w:ind/>
        <w:jc w:val="center"/>
        <w:rPr>
          <w:sz w:val="28"/>
        </w:rPr>
      </w:pPr>
    </w:p>
    <w:p w14:paraId="8B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C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E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1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E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A010000">
      <w:pPr>
        <w:widowControl w:val="0"/>
        <w:ind/>
        <w:jc w:val="center"/>
        <w:rPr>
          <w:sz w:val="28"/>
        </w:rPr>
      </w:pPr>
    </w:p>
    <w:p w14:paraId="BB010000">
      <w:pPr>
        <w:widowControl w:val="0"/>
        <w:ind/>
        <w:jc w:val="center"/>
        <w:rPr>
          <w:sz w:val="28"/>
        </w:rPr>
      </w:pPr>
    </w:p>
    <w:p w14:paraId="BC010000">
      <w:pPr>
        <w:widowControl w:val="0"/>
        <w:ind/>
        <w:jc w:val="center"/>
        <w:rPr>
          <w:sz w:val="28"/>
        </w:rPr>
      </w:pPr>
    </w:p>
    <w:p w14:paraId="BD010000">
      <w:pPr>
        <w:widowControl w:val="0"/>
        <w:ind/>
        <w:outlineLvl w:val="2"/>
        <w:rPr>
          <w:sz w:val="28"/>
        </w:rPr>
      </w:pPr>
    </w:p>
    <w:p w14:paraId="BE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F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5010000">
      <w:pPr>
        <w:widowControl w:val="0"/>
        <w:ind/>
        <w:jc w:val="center"/>
        <w:rPr>
          <w:sz w:val="28"/>
        </w:rPr>
      </w:pPr>
    </w:p>
    <w:p w14:paraId="E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7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1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0804 02410024410 244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B020000">
      <w:pPr>
        <w:widowControl w:val="0"/>
        <w:ind/>
        <w:jc w:val="center"/>
        <w:rPr>
          <w:sz w:val="28"/>
        </w:rPr>
      </w:pPr>
    </w:p>
    <w:p w14:paraId="3C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D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4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7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51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8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7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A1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2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3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4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5020000">
      <w:pPr>
        <w:widowControl w:val="0"/>
        <w:ind/>
        <w:rPr>
          <w:sz w:val="28"/>
        </w:rPr>
      </w:pPr>
    </w:p>
    <w:p w14:paraId="A6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A7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домов культуры</w:t>
      </w:r>
      <w:r>
        <w:rPr>
          <w:sz w:val="28"/>
        </w:rPr>
        <w:t>»</w:t>
      </w:r>
    </w:p>
    <w:p w14:paraId="A8020000">
      <w:pPr>
        <w:widowControl w:val="0"/>
        <w:ind/>
        <w:jc w:val="center"/>
        <w:rPr>
          <w:sz w:val="28"/>
        </w:rPr>
      </w:pPr>
    </w:p>
    <w:p w14:paraId="A9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A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AF020000">
      <w:pPr>
        <w:widowControl w:val="0"/>
        <w:ind w:hanging="357" w:left="357"/>
        <w:jc w:val="center"/>
        <w:rPr>
          <w:sz w:val="28"/>
        </w:rPr>
      </w:pPr>
    </w:p>
    <w:p w14:paraId="B0020000">
      <w:pPr>
        <w:widowControl w:val="0"/>
        <w:ind/>
        <w:jc w:val="center"/>
        <w:rPr>
          <w:sz w:val="28"/>
        </w:rPr>
      </w:pPr>
    </w:p>
    <w:p w14:paraId="B1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B2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B4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B7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C4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r>
              <w:t>53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r>
              <w:t>53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r>
              <w:t>825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r>
              <w:t>825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r>
              <w:t>825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ind/>
              <w:jc w:val="center"/>
            </w:pPr>
          </w:p>
        </w:tc>
      </w:tr>
    </w:tbl>
    <w:p w14:paraId="ED020000">
      <w:pPr>
        <w:widowControl w:val="0"/>
        <w:ind/>
        <w:rPr>
          <w:sz w:val="28"/>
        </w:rPr>
      </w:pPr>
    </w:p>
    <w:p w14:paraId="EE020000">
      <w:pPr>
        <w:widowControl w:val="0"/>
        <w:ind/>
        <w:outlineLvl w:val="2"/>
        <w:rPr>
          <w:sz w:val="28"/>
        </w:rPr>
      </w:pPr>
    </w:p>
    <w:p w14:paraId="EF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F0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F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Финансовое обеспечение выполнения муниципального задания учреждений культуры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Государственная поддержка лучших работников  муниципальных учреждений культуры, находящихся  на территории сельских </w:t>
            </w:r>
            <w:r>
              <w:rPr>
                <w:sz w:val="24"/>
              </w:rPr>
              <w:t>поселений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C030000">
      <w:pPr>
        <w:widowControl w:val="0"/>
        <w:ind/>
        <w:jc w:val="center"/>
        <w:rPr>
          <w:sz w:val="28"/>
        </w:rPr>
      </w:pPr>
    </w:p>
    <w:p w14:paraId="2D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2E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38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 xml:space="preserve">Развитие домов культуры» </w:t>
            </w:r>
          </w:p>
          <w:p w14:paraId="4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30</w:t>
            </w:r>
            <w:r>
              <w:rPr>
                <w:sz w:val="24"/>
                <w:shd w:fill="FFD821" w:val="clear"/>
              </w:rPr>
              <w:t xml:space="preserve"> 147,7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91 375,7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29 966,9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91 194,9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0801 02420000590 610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29 961,9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91 189,9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29 961,9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91 189,9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84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0801 024202</w:t>
            </w:r>
            <w:r>
              <w:rPr>
                <w:sz w:val="24"/>
              </w:rPr>
              <w:t>L5190</w:t>
            </w:r>
            <w:r>
              <w:rPr>
                <w:sz w:val="24"/>
              </w:rPr>
              <w:t xml:space="preserve">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185,</w:t>
            </w:r>
            <w:r>
              <w:rPr>
                <w:sz w:val="24"/>
                <w:shd w:fill="FFD821" w:val="clear"/>
              </w:rPr>
              <w:t>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185,</w:t>
            </w:r>
            <w:r>
              <w:rPr>
                <w:sz w:val="24"/>
                <w:shd w:fill="FFD821" w:val="clear"/>
              </w:rPr>
              <w:t>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5,0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 xml:space="preserve">» </w:t>
            </w:r>
          </w:p>
          <w:p w14:paraId="A5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S4640</w:t>
            </w:r>
          </w:p>
          <w:p w14:paraId="A7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5030000">
      <w:pPr>
        <w:widowControl w:val="0"/>
        <w:ind/>
        <w:jc w:val="center"/>
        <w:rPr>
          <w:sz w:val="28"/>
        </w:rPr>
      </w:pPr>
    </w:p>
    <w:p w14:paraId="C6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7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9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B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E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1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домов культуры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DB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E2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20.12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</w:t>
            </w:r>
            <w:r>
              <w:rPr>
                <w:sz w:val="24"/>
              </w:rPr>
              <w:t>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>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4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«Заключение Соглашения о </w:t>
            </w:r>
            <w:r>
              <w:rPr>
                <w:sz w:val="24"/>
              </w:rPr>
              <w:t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1.9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01.01.2028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2D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34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 xml:space="preserve">«Заключение Соглашения о порядке и условиях предоставления субсидии на </w:t>
            </w:r>
            <w:r>
              <w:rPr>
                <w:sz w:val="24"/>
              </w:rPr>
              <w:t>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20.02.2025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Предоставлен отчет о </w:t>
            </w:r>
            <w:r>
              <w:rPr>
                <w:sz w:val="24"/>
              </w:rPr>
              <w:t>расходовании субсидии на 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расходовании субсидии на иные цели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4B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Indent"/>
    <w:basedOn w:val="Style_4"/>
    <w:link w:val="Style_9_ch"/>
    <w:pPr>
      <w:spacing w:after="120" w:line="100" w:lineRule="atLeast"/>
      <w:ind w:firstLine="0" w:left="283"/>
    </w:pPr>
  </w:style>
  <w:style w:styleId="Style_9_ch" w:type="character">
    <w:name w:val="Body Text Indent"/>
    <w:basedOn w:val="Style_4_ch"/>
    <w:link w:val="Style_9"/>
  </w:style>
  <w:style w:styleId="Style_10" w:type="paragraph">
    <w:name w:val="ConsPlusNormal"/>
    <w:link w:val="Style_10_ch"/>
    <w:pPr>
      <w:widowControl w:val="0"/>
      <w:ind/>
    </w:pPr>
    <w:rPr>
      <w:sz w:val="24"/>
    </w:rPr>
  </w:style>
  <w:style w:styleId="Style_10_ch" w:type="character">
    <w:name w:val="ConsPlusNormal"/>
    <w:link w:val="Style_10"/>
    <w:rPr>
      <w:sz w:val="24"/>
    </w:rPr>
  </w:style>
  <w:style w:styleId="Style_11" w:type="paragraph">
    <w:name w:val="No Spacing"/>
    <w:link w:val="Style_11_ch"/>
    <w:pPr>
      <w:ind w:firstLine="709" w:left="0"/>
      <w:jc w:val="both"/>
    </w:pPr>
    <w:rPr>
      <w:sz w:val="28"/>
    </w:rPr>
  </w:style>
  <w:style w:styleId="Style_11_ch" w:type="character">
    <w:name w:val="No Spacing"/>
    <w:link w:val="Style_11"/>
    <w:rPr>
      <w:sz w:val="28"/>
    </w:rPr>
  </w:style>
  <w:style w:styleId="Style_12" w:type="paragraph">
    <w:name w:val="Default"/>
    <w:link w:val="Style_12_ch"/>
    <w:rPr>
      <w:sz w:val="24"/>
    </w:rPr>
  </w:style>
  <w:style w:styleId="Style_12_ch" w:type="character">
    <w:name w:val="Default"/>
    <w:link w:val="Style_12"/>
    <w:rPr>
      <w:sz w:val="24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"/>
    <w:basedOn w:val="Style_4"/>
    <w:link w:val="Style_14_ch"/>
    <w:pPr>
      <w:spacing w:after="120"/>
      <w:ind/>
    </w:pPr>
  </w:style>
  <w:style w:styleId="Style_14_ch" w:type="character">
    <w:name w:val="Body Text"/>
    <w:basedOn w:val="Style_4_ch"/>
    <w:link w:val="Style_14"/>
  </w:style>
  <w:style w:styleId="Style_15" w:type="paragraph">
    <w:name w:val="Маркеры списка"/>
    <w:link w:val="Style_15_ch"/>
    <w:rPr>
      <w:rFonts w:ascii="OpenSymbol" w:hAnsi="OpenSymbol"/>
    </w:rPr>
  </w:style>
  <w:style w:styleId="Style_15_ch" w:type="character">
    <w:name w:val="Маркеры списка"/>
    <w:link w:val="Style_15"/>
    <w:rPr>
      <w:rFonts w:ascii="OpenSymbol" w:hAnsi="OpenSymbol"/>
    </w:rPr>
  </w:style>
  <w:style w:styleId="Style_16" w:type="paragraph">
    <w:name w:val="Название1"/>
    <w:basedOn w:val="Style_4"/>
    <w:link w:val="Style_16_ch"/>
    <w:pPr>
      <w:spacing w:after="120" w:before="120"/>
      <w:ind/>
    </w:pPr>
    <w:rPr>
      <w:i w:val="1"/>
    </w:rPr>
  </w:style>
  <w:style w:styleId="Style_16_ch" w:type="character">
    <w:name w:val="Название1"/>
    <w:basedOn w:val="Style_4_ch"/>
    <w:link w:val="Style_16"/>
    <w:rPr>
      <w:i w:val="1"/>
    </w:rPr>
  </w:style>
  <w:style w:styleId="Style_17" w:type="paragraph">
    <w:name w:val="Знак примечания1"/>
    <w:link w:val="Style_17_ch"/>
    <w:rPr>
      <w:sz w:val="16"/>
    </w:rPr>
  </w:style>
  <w:style w:styleId="Style_17_ch" w:type="character">
    <w:name w:val="Знак примечания1"/>
    <w:link w:val="Style_17"/>
    <w:rPr>
      <w:sz w:val="16"/>
    </w:rPr>
  </w:style>
  <w:style w:styleId="Style_18" w:type="paragraph">
    <w:name w:val="Font Style11"/>
    <w:link w:val="Style_18_ch"/>
  </w:style>
  <w:style w:styleId="Style_18_ch" w:type="character">
    <w:name w:val="Font Style11"/>
    <w:link w:val="Style_18"/>
  </w:style>
  <w:style w:styleId="Style_19" w:type="paragraph">
    <w:name w:val="Указатель1"/>
    <w:basedOn w:val="Style_4"/>
    <w:link w:val="Style_19_ch"/>
  </w:style>
  <w:style w:styleId="Style_19_ch" w:type="character">
    <w:name w:val="Указатель1"/>
    <w:basedOn w:val="Style_4_ch"/>
    <w:link w:val="Style_19"/>
  </w:style>
  <w:style w:styleId="Style_20" w:type="paragraph">
    <w:name w:val="annotation text"/>
    <w:basedOn w:val="Style_4"/>
    <w:link w:val="Style_20_ch"/>
    <w:rPr>
      <w:sz w:val="20"/>
    </w:rPr>
  </w:style>
  <w:style w:styleId="Style_20_ch" w:type="character">
    <w:name w:val="annotation text"/>
    <w:basedOn w:val="Style_4_ch"/>
    <w:link w:val="Style_20"/>
    <w:rPr>
      <w:sz w:val="20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/>
    </w:pPr>
    <w:rPr>
      <w:rFonts w:ascii="Arial" w:hAnsi="Arial"/>
    </w:rPr>
  </w:style>
  <w:style w:styleId="Style_23_ch" w:type="character">
    <w:name w:val="ConsPlusCell"/>
    <w:link w:val="Style_23"/>
    <w:rPr>
      <w:rFonts w:ascii="Arial" w:hAnsi="Arial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Символ нумерации"/>
    <w:link w:val="Style_25_ch"/>
  </w:style>
  <w:style w:styleId="Style_25_ch" w:type="character">
    <w:name w:val="Символ нумерации"/>
    <w:link w:val="Style_25"/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Заголовок таблицы"/>
    <w:basedOn w:val="Style_2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28_ch"/>
    <w:link w:val="Style_27"/>
    <w:rPr>
      <w:b w:val="1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9_ch" w:type="character">
    <w:name w:val="heading 1"/>
    <w:basedOn w:val="Style_4_ch"/>
    <w:link w:val="Style_29"/>
    <w:rPr>
      <w:rFonts w:ascii="Arial" w:hAnsi="Arial"/>
      <w:b w:val="1"/>
      <w:sz w:val="32"/>
    </w:rPr>
  </w:style>
  <w:style w:styleId="Style_30" w:type="paragraph">
    <w:name w:val="List"/>
    <w:basedOn w:val="Style_14"/>
    <w:link w:val="Style_30_ch"/>
  </w:style>
  <w:style w:styleId="Style_30_ch" w:type="character">
    <w:name w:val="List"/>
    <w:basedOn w:val="Style_14_ch"/>
    <w:link w:val="Style_30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header"/>
    <w:basedOn w:val="Style_4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4_ch"/>
    <w:link w:val="Style_34"/>
  </w:style>
  <w:style w:styleId="Style_35" w:type="paragraph">
    <w:name w:val="toc 1"/>
    <w:next w:val="Style_4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toc 9"/>
    <w:next w:val="Style_4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Balloon Text"/>
    <w:basedOn w:val="Style_4"/>
    <w:link w:val="Style_38_ch"/>
    <w:rPr>
      <w:rFonts w:ascii="Segoe UI" w:hAnsi="Segoe UI"/>
      <w:sz w:val="18"/>
    </w:rPr>
  </w:style>
  <w:style w:styleId="Style_38_ch" w:type="character">
    <w:name w:val="Balloon Text"/>
    <w:basedOn w:val="Style_4_ch"/>
    <w:link w:val="Style_38"/>
    <w:rPr>
      <w:rFonts w:ascii="Segoe UI" w:hAnsi="Segoe UI"/>
      <w:sz w:val="18"/>
    </w:rPr>
  </w:style>
  <w:style w:styleId="Style_39" w:type="paragraph">
    <w:name w:val="toc 8"/>
    <w:next w:val="Style_4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40" w:type="paragraph">
    <w:name w:val="toc 5"/>
    <w:next w:val="Style_4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  <w:rPr>
      <w:sz w:val="24"/>
    </w:rPr>
  </w:style>
  <w:style w:styleId="Style_41_ch" w:type="character">
    <w:name w:val="Обычный1"/>
    <w:link w:val="Style_41"/>
    <w:rPr>
      <w:sz w:val="24"/>
    </w:rPr>
  </w:style>
  <w:style w:styleId="Style_2" w:type="paragraph">
    <w:name w:val="Заголовок"/>
    <w:basedOn w:val="Style_4"/>
    <w:next w:val="Style_14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42" w:type="paragraph">
    <w:name w:val="annotation subject"/>
    <w:basedOn w:val="Style_20"/>
    <w:next w:val="Style_20"/>
    <w:link w:val="Style_42_ch"/>
    <w:rPr>
      <w:b w:val="1"/>
    </w:rPr>
  </w:style>
  <w:style w:styleId="Style_42_ch" w:type="character">
    <w:name w:val="annotation subject"/>
    <w:basedOn w:val="Style_20_ch"/>
    <w:link w:val="Style_42"/>
    <w:rPr>
      <w:b w:val="1"/>
    </w:rPr>
  </w:style>
  <w:style w:styleId="Style_43" w:type="paragraph">
    <w:name w:val="Subtitle"/>
    <w:basedOn w:val="Style_2"/>
    <w:next w:val="Style_14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2_ch"/>
    <w:link w:val="Style_43"/>
    <w:rPr>
      <w:i w:val="1"/>
    </w:rPr>
  </w:style>
  <w:style w:styleId="Style_44" w:type="paragraph">
    <w:name w:val="Title"/>
    <w:basedOn w:val="Style_2"/>
    <w:next w:val="Style_43"/>
    <w:link w:val="Style_44_ch"/>
    <w:uiPriority w:val="10"/>
    <w:qFormat/>
  </w:style>
  <w:style w:styleId="Style_44_ch" w:type="character">
    <w:name w:val="Title"/>
    <w:basedOn w:val="Style_2_ch"/>
    <w:link w:val="Style_44"/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28" w:type="paragraph">
    <w:name w:val="Содержимое таблицы"/>
    <w:basedOn w:val="Style_4"/>
    <w:link w:val="Style_28_ch"/>
    <w:pPr>
      <w:widowControl w:val="1"/>
      <w:ind/>
    </w:pPr>
    <w:rPr>
      <w:rFonts w:ascii="Arial" w:hAnsi="Arial"/>
    </w:rPr>
  </w:style>
  <w:style w:styleId="Style_28_ch" w:type="character">
    <w:name w:val="Содержимое таблицы"/>
    <w:basedOn w:val="Style_4_ch"/>
    <w:link w:val="Style_28"/>
    <w:rPr>
      <w:rFonts w:ascii="Arial" w:hAnsi="Arial"/>
    </w:rPr>
  </w:style>
  <w:style w:styleId="Style_46" w:type="paragraph">
    <w:name w:val="ConsPlusTitle"/>
    <w:link w:val="Style_46_ch"/>
    <w:pPr>
      <w:widowControl w:val="0"/>
      <w:ind/>
    </w:pPr>
    <w:rPr>
      <w:rFonts w:ascii="Arial" w:hAnsi="Arial"/>
      <w:b w:val="1"/>
    </w:rPr>
  </w:style>
  <w:style w:styleId="Style_46_ch" w:type="character">
    <w:name w:val="ConsPlusTitle"/>
    <w:link w:val="Style_46"/>
    <w:rPr>
      <w:rFonts w:ascii="Arial" w:hAnsi="Arial"/>
      <w:b w:val="1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2025-02-27T05:35:47Z</dcterms:modified>
</cp:coreProperties>
</file>